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9282"/>
          <w:tab w:val="right" w:pos="9492"/>
          <w:tab w:val="clear" w:pos="4536"/>
          <w:tab w:val="clear" w:pos="9072"/>
        </w:tabs>
        <w:snapToGrid w:val="0"/>
        <w:rPr>
          <w:sz w:val="22"/>
          <w:szCs w:val="22"/>
          <w:lang w:eastAsia="zh-CN"/>
        </w:rPr>
      </w:pPr>
      <w:r>
        <w:rPr>
          <w:sz w:val="22"/>
          <w:szCs w:val="22"/>
        </w:rPr>
        <w:t xml:space="preserve">3GPP TSG RAN WG1 Meeting </w:t>
      </w:r>
      <w:r>
        <w:rPr>
          <w:rFonts w:hint="eastAsia"/>
          <w:sz w:val="22"/>
          <w:szCs w:val="22"/>
        </w:rPr>
        <w:t>#9</w:t>
      </w:r>
      <w:r>
        <w:rPr>
          <w:sz w:val="22"/>
          <w:szCs w:val="22"/>
        </w:rPr>
        <w:t>9</w:t>
      </w:r>
      <w:r>
        <w:rPr>
          <w:rFonts w:ascii="Times New Roman" w:hAnsi="Times New Roman" w:eastAsia="宋体"/>
          <w:sz w:val="23"/>
          <w:szCs w:val="23"/>
          <w:lang w:eastAsia="zh-CN"/>
        </w:rPr>
        <w:tab/>
      </w:r>
      <w:r>
        <w:rPr>
          <w:rFonts w:hint="eastAsia"/>
          <w:sz w:val="22"/>
          <w:szCs w:val="22"/>
          <w:lang w:eastAsia="ja-JP"/>
        </w:rPr>
        <w:t>R1-1911932</w:t>
      </w:r>
    </w:p>
    <w:p>
      <w:pPr>
        <w:tabs>
          <w:tab w:val="center" w:pos="4536"/>
          <w:tab w:val="right" w:pos="9072"/>
        </w:tabs>
        <w:rPr>
          <w:rFonts w:eastAsia="MS Mincho"/>
          <w:b/>
          <w:bCs/>
          <w:sz w:val="23"/>
          <w:szCs w:val="23"/>
          <w:lang w:eastAsia="ja-JP"/>
        </w:rPr>
      </w:pPr>
      <w:r>
        <w:rPr>
          <w:rFonts w:hint="eastAsia" w:ascii="Arial" w:hAnsi="Arial" w:eastAsia="MS Mincho"/>
          <w:b/>
          <w:sz w:val="22"/>
          <w:lang w:eastAsia="ja-JP"/>
        </w:rPr>
        <w:t>Reno,</w:t>
      </w:r>
      <w:r>
        <w:rPr>
          <w:rFonts w:hint="eastAsia" w:eastAsia="MS Mincho"/>
          <w:b/>
          <w:bCs/>
          <w:sz w:val="23"/>
          <w:szCs w:val="23"/>
          <w:lang w:eastAsia="ja-JP"/>
        </w:rPr>
        <w:t xml:space="preserve"> </w:t>
      </w:r>
      <w:r>
        <w:rPr>
          <w:rFonts w:hint="eastAsia" w:ascii="Arial" w:hAnsi="Arial" w:eastAsia="MS Mincho"/>
          <w:b/>
          <w:sz w:val="22"/>
          <w:lang w:eastAsia="ja-JP"/>
        </w:rPr>
        <w:t>US, November 18</w:t>
      </w:r>
      <w:r>
        <w:rPr>
          <w:rFonts w:hint="eastAsia" w:ascii="Arial" w:hAnsi="Arial" w:eastAsia="MS Mincho"/>
          <w:b/>
          <w:sz w:val="22"/>
          <w:vertAlign w:val="superscript"/>
          <w:lang w:eastAsia="ja-JP"/>
        </w:rPr>
        <w:t>th</w:t>
      </w:r>
      <w:r>
        <w:rPr>
          <w:rFonts w:hint="eastAsia" w:ascii="Arial" w:hAnsi="Arial" w:eastAsia="MS Mincho"/>
          <w:b/>
          <w:sz w:val="22"/>
          <w:lang w:eastAsia="ja-JP"/>
        </w:rPr>
        <w:t xml:space="preserve"> – 22</w:t>
      </w:r>
      <w:r>
        <w:rPr>
          <w:rFonts w:hint="eastAsia" w:ascii="Arial" w:hAnsi="Arial" w:eastAsia="MS Mincho"/>
          <w:b/>
          <w:sz w:val="22"/>
          <w:vertAlign w:val="superscript"/>
          <w:lang w:eastAsia="ja-JP"/>
        </w:rPr>
        <w:t>nd</w:t>
      </w:r>
      <w:r>
        <w:rPr>
          <w:rFonts w:hint="eastAsia" w:ascii="Arial" w:hAnsi="Arial" w:eastAsia="MS Mincho"/>
          <w:b/>
          <w:sz w:val="22"/>
          <w:lang w:eastAsia="ja-JP"/>
        </w:rPr>
        <w:t>, 2019</w:t>
      </w:r>
    </w:p>
    <w:p>
      <w:pPr>
        <w:pStyle w:val="23"/>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23"/>
        <w:tabs>
          <w:tab w:val="left" w:pos="1800"/>
        </w:tabs>
        <w:snapToGrid w:val="0"/>
        <w:ind w:left="1840" w:hanging="1840"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sz w:val="22"/>
          <w:szCs w:val="22"/>
          <w:lang w:eastAsia="zh-CN"/>
        </w:rPr>
        <w:t>Full TX Power UL transmission</w:t>
      </w:r>
    </w:p>
    <w:p>
      <w:pPr>
        <w:pStyle w:val="23"/>
        <w:tabs>
          <w:tab w:val="left" w:pos="1800"/>
        </w:tabs>
        <w:snapToGrid w:val="0"/>
        <w:rPr>
          <w:rFonts w:ascii="Times New Roman" w:hAnsi="Times New Roman" w:eastAsia="宋体"/>
          <w:bCs/>
          <w:sz w:val="22"/>
          <w:szCs w:val="22"/>
          <w:lang w:eastAsia="zh-CN"/>
        </w:rPr>
      </w:pPr>
      <w:r>
        <w:rPr>
          <w:sz w:val="22"/>
          <w:szCs w:val="22"/>
          <w:lang w:eastAsia="zh-CN"/>
        </w:rPr>
        <w:t>Agenda Item:</w:t>
      </w:r>
      <w:bookmarkStart w:id="0" w:name="Source"/>
      <w:bookmarkEnd w:id="0"/>
      <w:r>
        <w:rPr>
          <w:rFonts w:ascii="Times New Roman" w:hAnsi="Times New Roman" w:eastAsia="宋体"/>
          <w:bCs/>
          <w:sz w:val="22"/>
          <w:szCs w:val="22"/>
          <w:lang w:eastAsia="zh-CN"/>
        </w:rPr>
        <w:tab/>
      </w:r>
      <w:r>
        <w:rPr>
          <w:sz w:val="22"/>
          <w:szCs w:val="22"/>
          <w:lang w:eastAsia="zh-CN"/>
        </w:rPr>
        <w:t>7.2.</w:t>
      </w:r>
      <w:r>
        <w:rPr>
          <w:rFonts w:hint="eastAsia"/>
          <w:sz w:val="22"/>
          <w:szCs w:val="22"/>
          <w:lang w:eastAsia="zh-CN"/>
        </w:rPr>
        <w:t>8</w:t>
      </w:r>
      <w:r>
        <w:rPr>
          <w:sz w:val="22"/>
          <w:szCs w:val="22"/>
          <w:lang w:eastAsia="zh-CN"/>
        </w:rPr>
        <w:t>.</w:t>
      </w:r>
      <w:r>
        <w:rPr>
          <w:rFonts w:hint="eastAsia"/>
          <w:sz w:val="22"/>
          <w:szCs w:val="22"/>
          <w:lang w:eastAsia="zh-CN"/>
        </w:rPr>
        <w:t>4</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pStyle w:val="2"/>
        <w:keepNext/>
        <w:tabs>
          <w:tab w:val="left" w:pos="3686"/>
          <w:tab w:val="left" w:pos="4536"/>
        </w:tabs>
        <w:snapToGrid w:val="0"/>
        <w:spacing w:before="180" w:beforeLines="50" w:beforeAutospacing="0" w:after="0" w:afterAutospacing="0" w:line="240" w:lineRule="auto"/>
        <w:textAlignment w:val="baseline"/>
        <w:rPr>
          <w:rFonts w:eastAsia="Arial Unicode MS"/>
          <w:sz w:val="28"/>
          <w:szCs w:val="28"/>
        </w:rPr>
      </w:pPr>
      <w:r>
        <w:rPr>
          <w:rFonts w:eastAsia="Arial Unicode MS"/>
          <w:sz w:val="28"/>
          <w:szCs w:val="28"/>
        </w:rPr>
        <w:t>Introduction</w:t>
      </w:r>
    </w:p>
    <w:p>
      <w:pPr>
        <w:overflowPunct w:val="0"/>
        <w:autoSpaceDE w:val="0"/>
        <w:autoSpaceDN w:val="0"/>
        <w:adjustRightInd w:val="0"/>
        <w:snapToGrid w:val="0"/>
        <w:spacing w:before="180" w:beforeLines="50" w:after="120" w:line="300" w:lineRule="auto"/>
        <w:jc w:val="both"/>
        <w:textAlignment w:val="baseline"/>
        <w:rPr>
          <w:rFonts w:eastAsia="宋体"/>
        </w:rPr>
      </w:pPr>
      <w:r>
        <w:rPr>
          <w:rFonts w:hint="eastAsia" w:eastAsia="宋体"/>
        </w:rPr>
        <w:t>For Rel-16, the solutions on further full power enhancement</w:t>
      </w:r>
      <w:r>
        <w:rPr>
          <w:rFonts w:eastAsia="宋体"/>
        </w:rPr>
        <w:t xml:space="preserve"> have been discussed</w:t>
      </w:r>
      <w:r>
        <w:rPr>
          <w:rFonts w:hint="eastAsia" w:eastAsia="宋体"/>
        </w:rPr>
        <w:t>. According to a working assumption made in RAN1#97[1], this issue has been converged as two modes. In RAN</w:t>
      </w:r>
      <w:r>
        <w:rPr>
          <w:rFonts w:eastAsia="宋体"/>
        </w:rPr>
        <w:t xml:space="preserve">1#98 and RAN1#98bis </w:t>
      </w:r>
      <w:r>
        <w:rPr>
          <w:rFonts w:hint="eastAsia" w:eastAsia="宋体"/>
        </w:rPr>
        <w:t>[2]</w:t>
      </w:r>
      <w:r>
        <w:rPr>
          <w:rFonts w:eastAsia="宋体"/>
        </w:rPr>
        <w:t xml:space="preserve"> </w:t>
      </w:r>
      <w:r>
        <w:rPr>
          <w:rFonts w:hint="eastAsia" w:eastAsia="宋体"/>
        </w:rPr>
        <w:t xml:space="preserve">[3], </w:t>
      </w:r>
      <w:r>
        <w:rPr>
          <w:rFonts w:eastAsia="宋体"/>
        </w:rPr>
        <w:t xml:space="preserve">the </w:t>
      </w:r>
      <w:r>
        <w:rPr>
          <w:rFonts w:hint="eastAsia" w:eastAsia="宋体"/>
        </w:rPr>
        <w:t>details on these two modes were discussed</w:t>
      </w:r>
      <w:r>
        <w:rPr>
          <w:rFonts w:eastAsia="宋体"/>
        </w:rPr>
        <w:t>,</w:t>
      </w:r>
      <w:r>
        <w:rPr>
          <w:rFonts w:hint="eastAsia" w:eastAsia="宋体"/>
        </w:rPr>
        <w:t xml:space="preserve"> and </w:t>
      </w:r>
      <w:r>
        <w:rPr>
          <w:rFonts w:eastAsia="宋体"/>
        </w:rPr>
        <w:t xml:space="preserve">the </w:t>
      </w:r>
      <w:r>
        <w:rPr>
          <w:rFonts w:hint="eastAsia" w:eastAsia="微软雅黑"/>
          <w:szCs w:val="20"/>
        </w:rPr>
        <w:t>progress</w:t>
      </w:r>
      <w:r>
        <w:rPr>
          <w:rFonts w:hint="eastAsia" w:eastAsia="宋体"/>
        </w:rPr>
        <w:t xml:space="preserve"> was made</w:t>
      </w:r>
      <w:r>
        <w:rPr>
          <w:rFonts w:eastAsia="宋体"/>
        </w:rPr>
        <w:t xml:space="preserve"> </w:t>
      </w:r>
      <w:r>
        <w:rPr>
          <w:rFonts w:hint="eastAsia" w:eastAsia="宋体"/>
        </w:rPr>
        <w:t>as below.</w:t>
      </w:r>
    </w:p>
    <w:tbl>
      <w:tblPr>
        <w:tblStyle w:val="27"/>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6" w:type="dxa"/>
          </w:tcPr>
          <w:p>
            <w:pPr>
              <w:rPr>
                <w:b/>
                <w:bCs/>
                <w:szCs w:val="20"/>
                <w:lang w:val="fr-FR"/>
              </w:rPr>
            </w:pPr>
            <w:r>
              <w:rPr>
                <w:b/>
                <w:bCs/>
                <w:szCs w:val="20"/>
                <w:lang w:val="fr-FR"/>
              </w:rPr>
              <w:t>Agreement</w:t>
            </w:r>
          </w:p>
          <w:p>
            <w:pPr>
              <w:pStyle w:val="112"/>
              <w:numPr>
                <w:ilvl w:val="0"/>
                <w:numId w:val="4"/>
              </w:numPr>
              <w:spacing w:after="0" w:afterAutospacing="0" w:line="240" w:lineRule="auto"/>
            </w:pPr>
            <w:r>
              <w:t xml:space="preserve">Support RRC configuration to operate in Mode1 or Mode2 subject to UE capability </w:t>
            </w:r>
          </w:p>
          <w:p>
            <w:pPr>
              <w:pStyle w:val="112"/>
              <w:numPr>
                <w:ilvl w:val="1"/>
                <w:numId w:val="4"/>
              </w:numPr>
              <w:spacing w:after="0" w:afterAutospacing="0" w:line="240" w:lineRule="auto"/>
            </w:pPr>
            <w:r>
              <w:t>For UE capabilty-2 and-3, gNB can configure a UE to operate in Mode 1 or Mode 2 subject to UE capability</w:t>
            </w:r>
          </w:p>
          <w:p>
            <w:pPr>
              <w:pStyle w:val="112"/>
              <w:numPr>
                <w:ilvl w:val="2"/>
                <w:numId w:val="4"/>
              </w:numPr>
              <w:spacing w:after="0" w:afterAutospacing="0" w:line="240" w:lineRule="auto"/>
            </w:pPr>
            <w:r>
              <w:t>Note: if UE only supports Mode 1 gNB cannot configure this UE to operate in Mode 2, if UE only supports Mode 2 gNB cannot configure this UE to operate in Mode 1</w:t>
            </w:r>
          </w:p>
          <w:p>
            <w:pPr>
              <w:pStyle w:val="112"/>
              <w:numPr>
                <w:ilvl w:val="1"/>
                <w:numId w:val="4"/>
              </w:numPr>
              <w:spacing w:after="0" w:afterAutospacing="0" w:line="240" w:lineRule="auto"/>
            </w:pPr>
            <w:r>
              <w:t>FFS: UE capability signaling discussion</w:t>
            </w:r>
          </w:p>
          <w:p>
            <w:pPr>
              <w:pStyle w:val="112"/>
              <w:numPr>
                <w:ilvl w:val="1"/>
                <w:numId w:val="4"/>
              </w:numPr>
              <w:spacing w:after="0" w:afterAutospacing="0" w:line="240" w:lineRule="auto"/>
            </w:pPr>
            <w:r>
              <w:t>Note: capability-1 UE can be configured with RRC parameter “ULFPTx” to deliver UL full power has been agreed, exact parameter name is up to RAN2</w:t>
            </w:r>
          </w:p>
          <w:p>
            <w:pPr>
              <w:pStyle w:val="112"/>
              <w:numPr>
                <w:ilvl w:val="0"/>
                <w:numId w:val="4"/>
              </w:numPr>
              <w:spacing w:after="0" w:afterAutospacing="0" w:line="240" w:lineRule="auto"/>
            </w:pPr>
            <w:r>
              <w:t>If gNB does not configure UE for Rel-16 full power UL transmission, Rel-16 UEs operate in Rel-15 behavior</w:t>
            </w:r>
          </w:p>
          <w:p>
            <w:pPr>
              <w:rPr>
                <w:szCs w:val="20"/>
              </w:rPr>
            </w:pPr>
          </w:p>
          <w:p>
            <w:pPr>
              <w:rPr>
                <w:rFonts w:eastAsia="宋体"/>
                <w:b/>
                <w:szCs w:val="20"/>
              </w:rPr>
            </w:pPr>
            <w:r>
              <w:rPr>
                <w:b/>
                <w:szCs w:val="20"/>
                <w:lang w:val="fr-FR"/>
              </w:rPr>
              <w:t>Agreement</w:t>
            </w:r>
            <w:r>
              <w:rPr>
                <w:rFonts w:eastAsia="宋体"/>
                <w:b/>
                <w:szCs w:val="20"/>
              </w:rPr>
              <w:t>s</w:t>
            </w:r>
          </w:p>
          <w:p>
            <w:pPr>
              <w:adjustRightInd w:val="0"/>
              <w:snapToGrid w:val="0"/>
              <w:rPr>
                <w:szCs w:val="20"/>
              </w:rPr>
            </w:pPr>
            <w:r>
              <w:rPr>
                <w:szCs w:val="20"/>
              </w:rPr>
              <w:t>For mode 1, 2Tx non-coherent UE, the new codebook subset at least includes rank=1 TPMI=2 defined in Rel-15 which can be used for UL full power transmission</w:t>
            </w:r>
          </w:p>
          <w:p>
            <w:pPr>
              <w:adjustRightInd w:val="0"/>
              <w:snapToGrid w:val="0"/>
              <w:rPr>
                <w:szCs w:val="20"/>
              </w:rPr>
            </w:pPr>
          </w:p>
          <w:p>
            <w:pPr>
              <w:pStyle w:val="46"/>
              <w:widowControl w:val="0"/>
              <w:ind w:left="0" w:leftChars="0"/>
              <w:jc w:val="both"/>
              <w:rPr>
                <w:rFonts w:ascii="Times New Roman" w:hAnsi="Times New Roman"/>
                <w:szCs w:val="20"/>
                <w:lang w:val="fr-FR"/>
              </w:rPr>
            </w:pPr>
            <w:r>
              <w:rPr>
                <w:rFonts w:ascii="Times New Roman" w:hAnsi="Times New Roman"/>
                <w:szCs w:val="20"/>
                <w:lang w:val="fr-FR"/>
              </w:rPr>
              <w:t xml:space="preserve">For 2Tx in mode 1, </w:t>
            </w:r>
          </w:p>
          <w:p>
            <w:pPr>
              <w:pStyle w:val="112"/>
              <w:numPr>
                <w:ilvl w:val="0"/>
                <w:numId w:val="4"/>
              </w:numPr>
              <w:spacing w:after="0" w:afterAutospacing="0" w:line="240" w:lineRule="auto"/>
            </w:pPr>
            <w:r>
              <w:t xml:space="preserve">For rank=1, TPMI=2, TPMI=0, TPMI=1 are included in new codebook subset for non-coherent UEs with power scaling defined as in [38.213] Rel-15 </w:t>
            </w:r>
          </w:p>
          <w:p>
            <w:pPr>
              <w:pStyle w:val="112"/>
              <w:numPr>
                <w:ilvl w:val="0"/>
                <w:numId w:val="4"/>
              </w:numPr>
              <w:spacing w:after="0" w:afterAutospacing="0" w:line="240" w:lineRule="auto"/>
            </w:pPr>
            <w:r>
              <w:t>For rank=2, TPMI=0 is included in the new codebook subset</w:t>
            </w:r>
          </w:p>
          <w:p>
            <w:pPr>
              <w:adjustRightInd w:val="0"/>
              <w:snapToGrid w:val="0"/>
              <w:rPr>
                <w:szCs w:val="20"/>
              </w:rPr>
            </w:pPr>
          </w:p>
          <w:p>
            <w:pPr>
              <w:adjustRightInd w:val="0"/>
              <w:snapToGrid w:val="0"/>
              <w:rPr>
                <w:szCs w:val="20"/>
              </w:rPr>
            </w:pPr>
            <w:r>
              <w:rPr>
                <w:szCs w:val="20"/>
              </w:rPr>
              <w:t xml:space="preserve">For mode 1, 4Tx non-coherent UE, the new codebook subset at least includes, rank 1 TPMI= 13 defined in Rel-15 which can be used for UL full power transmission </w:t>
            </w:r>
          </w:p>
          <w:p>
            <w:pPr>
              <w:widowControl w:val="0"/>
              <w:numPr>
                <w:ilvl w:val="0"/>
                <w:numId w:val="5"/>
              </w:numPr>
              <w:autoSpaceDE w:val="0"/>
              <w:autoSpaceDN w:val="0"/>
              <w:adjustRightInd w:val="0"/>
              <w:snapToGrid w:val="0"/>
              <w:ind w:left="720" w:hanging="320"/>
              <w:contextualSpacing/>
              <w:jc w:val="both"/>
              <w:rPr>
                <w:bCs/>
                <w:kern w:val="2"/>
                <w:szCs w:val="20"/>
                <w:lang w:eastAsia="ko-KR"/>
              </w:rPr>
            </w:pPr>
            <w:r>
              <w:rPr>
                <w:bCs/>
                <w:kern w:val="2"/>
                <w:szCs w:val="20"/>
                <w:lang w:eastAsia="ko-KR"/>
              </w:rPr>
              <w:t>FFS for the case that part of ports can deliver full power transmission</w:t>
            </w:r>
          </w:p>
          <w:p>
            <w:pPr>
              <w:adjustRightInd w:val="0"/>
              <w:snapToGrid w:val="0"/>
              <w:rPr>
                <w:szCs w:val="20"/>
              </w:rPr>
            </w:pPr>
          </w:p>
          <w:p>
            <w:pPr>
              <w:adjustRightInd w:val="0"/>
              <w:snapToGrid w:val="0"/>
              <w:rPr>
                <w:b/>
                <w:szCs w:val="20"/>
              </w:rPr>
            </w:pPr>
            <w:r>
              <w:rPr>
                <w:szCs w:val="20"/>
              </w:rPr>
              <w:t>For mode 1, 4Tx non-coherent UE, the new codebook subset</w:t>
            </w:r>
          </w:p>
          <w:p>
            <w:pPr>
              <w:widowControl w:val="0"/>
              <w:numPr>
                <w:ilvl w:val="0"/>
                <w:numId w:val="5"/>
              </w:numPr>
              <w:autoSpaceDE w:val="0"/>
              <w:autoSpaceDN w:val="0"/>
              <w:adjustRightInd w:val="0"/>
              <w:snapToGrid w:val="0"/>
              <w:ind w:left="720" w:hanging="320"/>
              <w:contextualSpacing/>
              <w:jc w:val="both"/>
              <w:rPr>
                <w:bCs/>
                <w:kern w:val="2"/>
                <w:szCs w:val="20"/>
                <w:lang w:eastAsia="ko-KR"/>
              </w:rPr>
            </w:pPr>
            <w:r>
              <w:rPr>
                <w:bCs/>
                <w:kern w:val="2"/>
                <w:szCs w:val="20"/>
                <w:lang w:eastAsia="ko-KR"/>
              </w:rPr>
              <w:t>at least includes, rank 2 TPMI=6 defined in Rel-15</w:t>
            </w:r>
          </w:p>
          <w:p>
            <w:pPr>
              <w:widowControl w:val="0"/>
              <w:numPr>
                <w:ilvl w:val="0"/>
                <w:numId w:val="5"/>
              </w:numPr>
              <w:autoSpaceDE w:val="0"/>
              <w:autoSpaceDN w:val="0"/>
              <w:adjustRightInd w:val="0"/>
              <w:snapToGrid w:val="0"/>
              <w:ind w:left="720" w:hanging="320"/>
              <w:contextualSpacing/>
              <w:jc w:val="both"/>
              <w:rPr>
                <w:szCs w:val="20"/>
                <w:lang w:val="fr-FR"/>
              </w:rPr>
            </w:pPr>
            <w:r>
              <w:rPr>
                <w:bCs/>
                <w:kern w:val="2"/>
                <w:szCs w:val="20"/>
                <w:lang w:eastAsia="ko-KR"/>
              </w:rPr>
              <w:t>at least includes, rank 3 TPMI=1 defined in Rel-15</w:t>
            </w:r>
          </w:p>
          <w:p>
            <w:pPr>
              <w:pStyle w:val="46"/>
              <w:widowControl w:val="0"/>
              <w:ind w:left="0" w:leftChars="0"/>
              <w:jc w:val="both"/>
              <w:rPr>
                <w:rFonts w:ascii="Times New Roman" w:hAnsi="Times New Roman"/>
                <w:szCs w:val="20"/>
                <w:lang w:val="fr-FR"/>
              </w:rPr>
            </w:pPr>
          </w:p>
          <w:p>
            <w:pPr>
              <w:rPr>
                <w:szCs w:val="20"/>
              </w:rPr>
            </w:pPr>
            <w:r>
              <w:rPr>
                <w:szCs w:val="20"/>
              </w:rPr>
              <w:t>For Mode 1 4TX, for non-full power uplink transmission, antenna selection precoders are included in the new codebook subset following Rel-15 power scaling factor</w:t>
            </w:r>
          </w:p>
          <w:p>
            <w:pPr>
              <w:numPr>
                <w:ilvl w:val="0"/>
                <w:numId w:val="5"/>
              </w:numPr>
              <w:rPr>
                <w:szCs w:val="20"/>
              </w:rPr>
            </w:pPr>
            <w:r>
              <w:rPr>
                <w:szCs w:val="20"/>
              </w:rPr>
              <w:t>FFS: Whether to include antenna selection precoders for full power uplink transmission</w:t>
            </w:r>
          </w:p>
          <w:p>
            <w:pPr>
              <w:rPr>
                <w:szCs w:val="20"/>
                <w:lang w:val="fr-FR"/>
              </w:rPr>
            </w:pPr>
          </w:p>
          <w:p>
            <w:pPr>
              <w:rPr>
                <w:szCs w:val="20"/>
                <w:lang w:val="fr-FR"/>
              </w:rPr>
            </w:pPr>
            <w:r>
              <w:rPr>
                <w:szCs w:val="20"/>
                <w:lang w:val="fr-FR"/>
              </w:rPr>
              <w:t>For full power uplink transmission Mode 1, 4TX partial-coherent, the new codebook subset includes</w:t>
            </w:r>
          </w:p>
          <w:p>
            <w:pPr>
              <w:numPr>
                <w:ilvl w:val="0"/>
                <w:numId w:val="6"/>
              </w:numPr>
              <w:rPr>
                <w:szCs w:val="20"/>
                <w:lang w:val="fr-FR"/>
              </w:rPr>
            </w:pPr>
            <w:r>
              <w:rPr>
                <w:szCs w:val="20"/>
                <w:lang w:val="fr-FR"/>
              </w:rPr>
              <w:t>Rank1</w:t>
            </w:r>
            <w:r>
              <w:rPr>
                <w:szCs w:val="20"/>
              </w:rPr>
              <w:t>(CP-OFDM)</w:t>
            </w:r>
            <w:r>
              <w:rPr>
                <w:szCs w:val="20"/>
                <w:lang w:val="fr-FR"/>
              </w:rPr>
              <w:t>:</w:t>
            </w:r>
            <w:r>
              <w:rPr>
                <w:szCs w:val="20"/>
              </w:rPr>
              <w:t xml:space="preserve"> TPMI = 12,13,14,15 </w:t>
            </w:r>
          </w:p>
          <w:p>
            <w:pPr>
              <w:numPr>
                <w:ilvl w:val="0"/>
                <w:numId w:val="6"/>
              </w:numPr>
              <w:rPr>
                <w:szCs w:val="20"/>
                <w:lang w:val="fr-FR"/>
              </w:rPr>
            </w:pPr>
            <w:r>
              <w:rPr>
                <w:szCs w:val="20"/>
                <w:lang w:val="fr-FR"/>
              </w:rPr>
              <w:t>Rank1</w:t>
            </w:r>
            <w:r>
              <w:rPr>
                <w:szCs w:val="20"/>
              </w:rPr>
              <w:t>(DFT-s-OFDM)</w:t>
            </w:r>
            <w:r>
              <w:rPr>
                <w:szCs w:val="20"/>
                <w:lang w:val="fr-FR"/>
              </w:rPr>
              <w:t>:</w:t>
            </w:r>
            <w:r>
              <w:rPr>
                <w:szCs w:val="20"/>
              </w:rPr>
              <w:t xml:space="preserve"> TPMI = 12,13,14,15</w:t>
            </w:r>
          </w:p>
          <w:p>
            <w:pPr>
              <w:numPr>
                <w:ilvl w:val="1"/>
                <w:numId w:val="6"/>
              </w:numPr>
              <w:rPr>
                <w:szCs w:val="20"/>
                <w:lang w:val="fr-FR"/>
              </w:rPr>
            </w:pPr>
            <w:r>
              <w:rPr>
                <w:szCs w:val="20"/>
              </w:rPr>
              <w:t>FFS: TPMI=16, 17, 18, 19</w:t>
            </w:r>
          </w:p>
          <w:p>
            <w:pPr>
              <w:numPr>
                <w:ilvl w:val="0"/>
                <w:numId w:val="6"/>
              </w:numPr>
              <w:rPr>
                <w:rFonts w:eastAsia="Malgun Gothic"/>
                <w:szCs w:val="20"/>
                <w:lang w:val="fr-FR"/>
              </w:rPr>
            </w:pPr>
            <w:r>
              <w:rPr>
                <w:rFonts w:eastAsia="Malgun Gothic"/>
                <w:szCs w:val="20"/>
                <w:lang w:val="fr-FR"/>
              </w:rPr>
              <w:t>FFS: Whether clarification on which port pairs are coherent is needed</w:t>
            </w:r>
          </w:p>
          <w:p>
            <w:pPr>
              <w:rPr>
                <w:szCs w:val="20"/>
              </w:rPr>
            </w:pPr>
          </w:p>
          <w:p>
            <w:pPr>
              <w:rPr>
                <w:rFonts w:eastAsia="宋体"/>
                <w:b/>
                <w:bCs/>
                <w:szCs w:val="20"/>
              </w:rPr>
            </w:pPr>
            <w:r>
              <w:rPr>
                <w:b/>
                <w:bCs/>
                <w:szCs w:val="20"/>
              </w:rPr>
              <w:t>Agreement</w:t>
            </w:r>
            <w:r>
              <w:rPr>
                <w:rFonts w:eastAsia="宋体"/>
                <w:b/>
                <w:bCs/>
                <w:szCs w:val="20"/>
              </w:rPr>
              <w:t>s</w:t>
            </w:r>
          </w:p>
          <w:p>
            <w:pPr>
              <w:pStyle w:val="46"/>
              <w:widowControl w:val="0"/>
              <w:ind w:left="0" w:leftChars="0"/>
              <w:jc w:val="both"/>
              <w:rPr>
                <w:rFonts w:ascii="Times New Roman" w:hAnsi="Times New Roman"/>
                <w:szCs w:val="20"/>
              </w:rPr>
            </w:pPr>
            <w:r>
              <w:rPr>
                <w:rFonts w:ascii="Times New Roman" w:hAnsi="Times New Roman"/>
                <w:szCs w:val="20"/>
              </w:rPr>
              <w:t xml:space="preserve">For Mode2, </w:t>
            </w:r>
          </w:p>
          <w:p>
            <w:pPr>
              <w:pStyle w:val="112"/>
              <w:numPr>
                <w:ilvl w:val="0"/>
                <w:numId w:val="4"/>
              </w:numPr>
              <w:spacing w:after="0" w:afterAutospacing="0" w:line="240" w:lineRule="auto"/>
            </w:pPr>
            <w:r>
              <w:t>Power scaling factor is equal to 1 for the reported TPMI precoders that supports full power Tx</w:t>
            </w:r>
          </w:p>
          <w:p>
            <w:pPr>
              <w:pStyle w:val="112"/>
              <w:numPr>
                <w:ilvl w:val="0"/>
                <w:numId w:val="4"/>
              </w:numPr>
              <w:spacing w:after="0" w:afterAutospacing="0" w:line="240" w:lineRule="auto"/>
            </w:pPr>
            <w:r>
              <w:t>for the other TPMI precoders, if only one SRS resource is configured, the power scaling factor is determined by #non-zero-PUSCH-port divided by #SRS-ports</w:t>
            </w:r>
          </w:p>
          <w:p>
            <w:pPr>
              <w:pStyle w:val="112"/>
              <w:numPr>
                <w:ilvl w:val="0"/>
                <w:numId w:val="4"/>
              </w:numPr>
              <w:spacing w:after="0" w:afterAutospacing="0" w:line="240" w:lineRule="auto"/>
            </w:pPr>
            <w:r>
              <w:t>for the other TPMI precoders, the power scaling factor is determined by #non-zero PUSCH port/#SRS ports in the SRS resource indicated by SRI</w:t>
            </w:r>
          </w:p>
          <w:p>
            <w:pPr>
              <w:pStyle w:val="112"/>
              <w:spacing w:after="0" w:afterAutospacing="0" w:line="240" w:lineRule="auto"/>
              <w:ind w:left="360" w:firstLine="0"/>
            </w:pPr>
          </w:p>
          <w:p>
            <w:pPr>
              <w:adjustRightInd w:val="0"/>
              <w:snapToGrid w:val="0"/>
            </w:pPr>
            <w:r>
              <w:t>For mode 2, in case of non-coherent with 2 ports, support following TPMI indication for rank 1 which support UL full power transmission:</w:t>
            </w:r>
          </w:p>
          <w:p>
            <w:pPr>
              <w:pStyle w:val="43"/>
              <w:numPr>
                <w:ilvl w:val="0"/>
                <w:numId w:val="5"/>
              </w:numPr>
              <w:spacing w:afterLines="0" w:line="240" w:lineRule="auto"/>
              <w:ind w:left="720" w:hanging="320"/>
              <w:contextualSpacing/>
              <w:rPr>
                <w:bCs/>
                <w:sz w:val="20"/>
                <w:szCs w:val="20"/>
              </w:rPr>
            </w:pPr>
            <w:r>
              <w:rPr>
                <w:bCs/>
                <w:sz w:val="20"/>
                <w:szCs w:val="20"/>
              </w:rPr>
              <w:t>Rank 1: support {TPMI=0} and {TPMI=1}</w:t>
            </w:r>
          </w:p>
          <w:p>
            <w:pPr>
              <w:pStyle w:val="43"/>
              <w:numPr>
                <w:ilvl w:val="0"/>
                <w:numId w:val="5"/>
              </w:numPr>
              <w:spacing w:afterLines="0" w:line="240" w:lineRule="auto"/>
              <w:ind w:left="720" w:hanging="320"/>
              <w:contextualSpacing/>
              <w:rPr>
                <w:bCs/>
                <w:sz w:val="20"/>
                <w:szCs w:val="20"/>
              </w:rPr>
            </w:pPr>
            <w:r>
              <w:rPr>
                <w:bCs/>
                <w:sz w:val="20"/>
                <w:szCs w:val="20"/>
              </w:rPr>
              <w:t xml:space="preserve">FFS: Details on UE capability signalling </w:t>
            </w:r>
          </w:p>
          <w:p>
            <w:pPr>
              <w:pStyle w:val="43"/>
              <w:spacing w:afterLines="0" w:line="240" w:lineRule="auto"/>
              <w:ind w:left="400"/>
              <w:contextualSpacing/>
              <w:rPr>
                <w:bCs/>
                <w:sz w:val="20"/>
                <w:szCs w:val="20"/>
              </w:rPr>
            </w:pPr>
          </w:p>
          <w:p>
            <w:pPr>
              <w:pStyle w:val="46"/>
              <w:widowControl w:val="0"/>
              <w:numPr>
                <w:ilvl w:val="0"/>
                <w:numId w:val="7"/>
              </w:numPr>
              <w:adjustRightInd w:val="0"/>
              <w:snapToGrid w:val="0"/>
              <w:ind w:leftChars="0"/>
              <w:jc w:val="both"/>
              <w:textAlignment w:val="bottom"/>
              <w:rPr>
                <w:rFonts w:ascii="Times New Roman" w:hAnsi="Times New Roman"/>
                <w:bCs/>
              </w:rPr>
            </w:pPr>
            <w:r>
              <w:rPr>
                <w:rFonts w:ascii="Times New Roman" w:hAnsi="Times New Roman"/>
                <w:bCs/>
              </w:rPr>
              <w:t>For 4 TX UEs, a maximum of 4 SRS resources are supported in Mode 2 for usage set to ‘codebook’ in a set</w:t>
            </w:r>
          </w:p>
          <w:p>
            <w:pPr>
              <w:pStyle w:val="46"/>
              <w:widowControl w:val="0"/>
              <w:numPr>
                <w:ilvl w:val="1"/>
                <w:numId w:val="7"/>
              </w:numPr>
              <w:adjustRightInd w:val="0"/>
              <w:snapToGrid w:val="0"/>
              <w:ind w:leftChars="0"/>
              <w:jc w:val="both"/>
              <w:textAlignment w:val="bottom"/>
              <w:rPr>
                <w:rFonts w:ascii="Times New Roman" w:hAnsi="Times New Roman"/>
                <w:bCs/>
              </w:rPr>
            </w:pPr>
            <w:r>
              <w:rPr>
                <w:rFonts w:ascii="Times New Roman" w:hAnsi="Times New Roman"/>
                <w:bCs/>
              </w:rPr>
              <w:t>Depending on UE capability, either up to 2 or 4 SRS resources are supported</w:t>
            </w:r>
          </w:p>
          <w:p>
            <w:pPr>
              <w:pStyle w:val="46"/>
              <w:widowControl w:val="0"/>
              <w:numPr>
                <w:ilvl w:val="0"/>
                <w:numId w:val="7"/>
              </w:numPr>
              <w:adjustRightInd w:val="0"/>
              <w:snapToGrid w:val="0"/>
              <w:ind w:leftChars="0"/>
              <w:jc w:val="both"/>
              <w:textAlignment w:val="bottom"/>
              <w:rPr>
                <w:rFonts w:ascii="Times New Roman" w:hAnsi="Times New Roman"/>
                <w:bCs/>
              </w:rPr>
            </w:pPr>
            <w:r>
              <w:rPr>
                <w:rFonts w:ascii="Times New Roman" w:hAnsi="Times New Roman"/>
                <w:bCs/>
              </w:rPr>
              <w:t>For 2 TX UEs, a maximum of 4 SRS resources are supported in Mode 2 for usage set to ‘codebook’ in a set</w:t>
            </w:r>
          </w:p>
          <w:p>
            <w:pPr>
              <w:pStyle w:val="46"/>
              <w:widowControl w:val="0"/>
              <w:numPr>
                <w:ilvl w:val="1"/>
                <w:numId w:val="7"/>
              </w:numPr>
              <w:adjustRightInd w:val="0"/>
              <w:snapToGrid w:val="0"/>
              <w:ind w:leftChars="0"/>
              <w:jc w:val="both"/>
              <w:textAlignment w:val="bottom"/>
              <w:rPr>
                <w:rFonts w:ascii="Times New Roman" w:hAnsi="Times New Roman"/>
                <w:bCs/>
              </w:rPr>
            </w:pPr>
            <w:r>
              <w:rPr>
                <w:rFonts w:ascii="Times New Roman" w:hAnsi="Times New Roman"/>
                <w:bCs/>
              </w:rPr>
              <w:t>Depending on UE capability, either up to 2 or 4 SRS resources are supported</w:t>
            </w:r>
          </w:p>
          <w:p>
            <w:pPr>
              <w:pStyle w:val="46"/>
              <w:widowControl w:val="0"/>
              <w:numPr>
                <w:ilvl w:val="0"/>
                <w:numId w:val="7"/>
              </w:numPr>
              <w:adjustRightInd w:val="0"/>
              <w:snapToGrid w:val="0"/>
              <w:ind w:leftChars="0"/>
              <w:jc w:val="both"/>
              <w:textAlignment w:val="bottom"/>
              <w:rPr>
                <w:rFonts w:ascii="Times New Roman" w:hAnsi="Times New Roman"/>
                <w:bCs/>
              </w:rPr>
            </w:pPr>
            <w:r>
              <w:rPr>
                <w:rFonts w:ascii="Times New Roman" w:hAnsi="Times New Roman"/>
                <w:bCs/>
              </w:rPr>
              <w:t>For mode 2 UEs, up to 2 different spatial relation info can be configured for all SRS resources with usage set to ‘codebook’</w:t>
            </w:r>
          </w:p>
          <w:p>
            <w:pPr>
              <w:pStyle w:val="112"/>
              <w:numPr>
                <w:ilvl w:val="0"/>
                <w:numId w:val="4"/>
              </w:numPr>
              <w:spacing w:after="0" w:afterAutospacing="0" w:line="240" w:lineRule="auto"/>
            </w:pPr>
            <w:r>
              <w:t xml:space="preserve">Note: it does not mean to support simultaneous transmission of multiple SRS resources </w:t>
            </w:r>
            <w:r>
              <w:rPr>
                <w:i/>
              </w:rPr>
              <w:t>usage</w:t>
            </w:r>
            <w:r>
              <w:t xml:space="preserve"> is set to ‘codebook’</w:t>
            </w:r>
          </w:p>
        </w:tc>
      </w:tr>
    </w:tbl>
    <w:p>
      <w:pPr>
        <w:overflowPunct w:val="0"/>
        <w:autoSpaceDE w:val="0"/>
        <w:autoSpaceDN w:val="0"/>
        <w:adjustRightInd w:val="0"/>
        <w:snapToGrid w:val="0"/>
        <w:spacing w:before="180" w:beforeLines="50" w:after="120" w:line="300" w:lineRule="auto"/>
        <w:jc w:val="both"/>
        <w:textAlignment w:val="baseline"/>
        <w:rPr>
          <w:rFonts w:eastAsia="微软雅黑"/>
          <w:szCs w:val="20"/>
        </w:rPr>
      </w:pPr>
      <w:r>
        <w:rPr>
          <w:rFonts w:hint="eastAsia" w:eastAsia="微软雅黑"/>
          <w:szCs w:val="20"/>
        </w:rPr>
        <w:t>W</w:t>
      </w:r>
      <w:r>
        <w:rPr>
          <w:rFonts w:eastAsia="微软雅黑"/>
          <w:szCs w:val="20"/>
        </w:rPr>
        <w:t xml:space="preserve">e </w:t>
      </w:r>
      <w:r>
        <w:rPr>
          <w:rFonts w:hint="eastAsia" w:eastAsia="微软雅黑"/>
          <w:szCs w:val="20"/>
        </w:rPr>
        <w:t>discuss the remaining issues on full power tr</w:t>
      </w:r>
      <w:r>
        <w:rPr>
          <w:rFonts w:eastAsia="微软雅黑"/>
          <w:szCs w:val="20"/>
        </w:rPr>
        <w:t xml:space="preserve">ansmission </w:t>
      </w:r>
      <w:r>
        <w:rPr>
          <w:rFonts w:hint="eastAsia" w:eastAsia="微软雅黑"/>
          <w:szCs w:val="20"/>
        </w:rPr>
        <w:t xml:space="preserve">for codebook based PUSCH </w:t>
      </w:r>
      <w:r>
        <w:rPr>
          <w:rFonts w:eastAsia="微软雅黑"/>
          <w:szCs w:val="20"/>
        </w:rPr>
        <w:t>in this contribution.</w:t>
      </w:r>
    </w:p>
    <w:p>
      <w:pPr>
        <w:pStyle w:val="2"/>
        <w:keepNext/>
        <w:tabs>
          <w:tab w:val="left" w:pos="3686"/>
          <w:tab w:val="left" w:pos="4536"/>
        </w:tabs>
        <w:snapToGrid w:val="0"/>
        <w:spacing w:before="180" w:beforeLines="50" w:beforeAutospacing="0" w:after="0" w:afterAutospacing="0" w:line="240" w:lineRule="auto"/>
        <w:textAlignment w:val="baseline"/>
        <w:rPr>
          <w:rFonts w:eastAsia="Arial Unicode MS"/>
          <w:sz w:val="28"/>
          <w:szCs w:val="28"/>
          <w:lang w:val="en-US"/>
        </w:rPr>
      </w:pPr>
      <w:r>
        <w:rPr>
          <w:rFonts w:hint="eastAsia" w:eastAsia="Arial Unicode MS"/>
          <w:sz w:val="28"/>
          <w:szCs w:val="28"/>
          <w:lang w:val="en-US"/>
        </w:rPr>
        <w:t>Discussion on Full TX Power for UL transmission for Rel-16</w:t>
      </w:r>
    </w:p>
    <w:p>
      <w:pPr>
        <w:pStyle w:val="3"/>
        <w:snapToGrid w:val="0"/>
        <w:spacing w:before="180" w:beforeLines="50" w:beforeAutospacing="0" w:after="180" w:afterLines="50" w:afterAutospacing="0" w:line="240" w:lineRule="auto"/>
        <w:ind w:left="578" w:hanging="578"/>
        <w:rPr>
          <w:lang w:val="en-US"/>
        </w:rPr>
      </w:pPr>
      <w:r>
        <w:rPr>
          <w:lang w:val="en-US"/>
        </w:rPr>
        <w:t>Remaining issues</w:t>
      </w:r>
      <w:r>
        <w:rPr>
          <w:rFonts w:hint="eastAsia"/>
          <w:lang w:val="en-US"/>
        </w:rPr>
        <w:t xml:space="preserve"> on </w:t>
      </w:r>
      <w:r>
        <w:rPr>
          <w:lang w:val="en-US"/>
        </w:rPr>
        <w:t>M</w:t>
      </w:r>
      <w:r>
        <w:rPr>
          <w:rFonts w:hint="eastAsia"/>
          <w:lang w:val="en-US"/>
        </w:rPr>
        <w:t>ode 1</w:t>
      </w:r>
    </w:p>
    <w:p>
      <w:pPr>
        <w:overflowPunct w:val="0"/>
        <w:autoSpaceDE w:val="0"/>
        <w:autoSpaceDN w:val="0"/>
        <w:adjustRightInd w:val="0"/>
        <w:snapToGrid w:val="0"/>
        <w:spacing w:before="180" w:beforeLines="50" w:after="120" w:line="300" w:lineRule="auto"/>
        <w:jc w:val="both"/>
        <w:textAlignment w:val="baseline"/>
        <w:rPr>
          <w:rFonts w:eastAsia="宋体"/>
          <w:szCs w:val="20"/>
        </w:rPr>
      </w:pPr>
      <w:r>
        <w:rPr>
          <w:rFonts w:hint="eastAsia" w:eastAsia="宋体"/>
          <w:szCs w:val="20"/>
        </w:rPr>
        <w:t>For</w:t>
      </w:r>
      <w:r>
        <w:rPr>
          <w:rFonts w:eastAsia="宋体"/>
          <w:szCs w:val="20"/>
        </w:rPr>
        <w:t xml:space="preserve"> Mode 1, </w:t>
      </w:r>
      <w:r>
        <w:rPr>
          <w:szCs w:val="20"/>
        </w:rPr>
        <w:t>UE can be configured with one or more SRS resources with same number of SRS ports</w:t>
      </w:r>
      <w:r>
        <w:rPr>
          <w:rFonts w:hint="eastAsia" w:eastAsia="Malgun Gothic"/>
          <w:szCs w:val="20"/>
        </w:rPr>
        <w:t xml:space="preserve"> within a</w:t>
      </w:r>
      <w:r>
        <w:rPr>
          <w:rFonts w:eastAsia="Malgun Gothic"/>
          <w:szCs w:val="20"/>
        </w:rPr>
        <w:t>n</w:t>
      </w:r>
      <w:r>
        <w:rPr>
          <w:rFonts w:hint="eastAsia" w:eastAsia="Malgun Gothic"/>
          <w:szCs w:val="20"/>
        </w:rPr>
        <w:t xml:space="preserve"> SRS resource set which </w:t>
      </w:r>
      <w:r>
        <w:rPr>
          <w:rFonts w:hint="eastAsia" w:eastAsia="Malgun Gothic"/>
          <w:i/>
          <w:szCs w:val="20"/>
        </w:rPr>
        <w:t>usage</w:t>
      </w:r>
      <w:r>
        <w:rPr>
          <w:rFonts w:hint="eastAsia" w:eastAsia="Malgun Gothic"/>
          <w:szCs w:val="20"/>
        </w:rPr>
        <w:t xml:space="preserve"> is set to </w:t>
      </w:r>
      <w:r>
        <w:rPr>
          <w:rFonts w:eastAsia="Malgun Gothic"/>
          <w:szCs w:val="20"/>
        </w:rPr>
        <w:t>‘</w:t>
      </w:r>
      <w:r>
        <w:rPr>
          <w:rFonts w:hint="eastAsia" w:eastAsia="Malgun Gothic"/>
          <w:szCs w:val="20"/>
        </w:rPr>
        <w:t>codebook</w:t>
      </w:r>
      <w:r>
        <w:rPr>
          <w:rFonts w:eastAsia="Malgun Gothic"/>
          <w:szCs w:val="20"/>
        </w:rPr>
        <w:t>’</w:t>
      </w:r>
      <w:r>
        <w:rPr>
          <w:rFonts w:hint="eastAsia" w:eastAsia="宋体"/>
          <w:szCs w:val="20"/>
        </w:rPr>
        <w:t>. The allowed codebook for non-coherent and partial-coherent UE</w:t>
      </w:r>
      <w:r>
        <w:rPr>
          <w:rFonts w:eastAsia="宋体"/>
          <w:szCs w:val="20"/>
        </w:rPr>
        <w:t>s</w:t>
      </w:r>
      <w:r>
        <w:rPr>
          <w:rFonts w:hint="eastAsia" w:eastAsia="宋体"/>
          <w:szCs w:val="20"/>
        </w:rPr>
        <w:t xml:space="preserve"> should be </w:t>
      </w:r>
      <w:r>
        <w:rPr>
          <w:rFonts w:hint="eastAsia" w:eastAsia="微软雅黑"/>
          <w:szCs w:val="20"/>
        </w:rPr>
        <w:t>extended</w:t>
      </w:r>
      <w:r>
        <w:rPr>
          <w:rFonts w:hint="eastAsia" w:eastAsia="宋体"/>
          <w:szCs w:val="20"/>
        </w:rPr>
        <w:t xml:space="preserve">, while PA assumption and power scaling scheme are </w:t>
      </w:r>
      <w:r>
        <w:rPr>
          <w:rFonts w:eastAsia="宋体"/>
          <w:szCs w:val="20"/>
        </w:rPr>
        <w:t xml:space="preserve">kept </w:t>
      </w:r>
      <w:r>
        <w:rPr>
          <w:rFonts w:hint="eastAsia" w:eastAsia="宋体"/>
          <w:szCs w:val="20"/>
        </w:rPr>
        <w:t>the same as in Rel-15. Remaining issues are listed as follows.</w:t>
      </w:r>
    </w:p>
    <w:p>
      <w:pPr>
        <w:pStyle w:val="43"/>
        <w:numPr>
          <w:ilvl w:val="0"/>
          <w:numId w:val="8"/>
        </w:numPr>
        <w:spacing w:afterLines="0" w:line="300" w:lineRule="auto"/>
        <w:rPr>
          <w:bCs/>
          <w:sz w:val="20"/>
          <w:szCs w:val="20"/>
        </w:rPr>
      </w:pPr>
      <w:r>
        <w:rPr>
          <w:rFonts w:hint="eastAsia" w:eastAsia="宋体"/>
          <w:bCs/>
          <w:sz w:val="20"/>
          <w:szCs w:val="20"/>
          <w:lang w:eastAsia="zh-CN"/>
        </w:rPr>
        <w:t>Issue #1: FFS aspects as follows for partial-coherent UE.</w:t>
      </w:r>
    </w:p>
    <w:p>
      <w:pPr>
        <w:pStyle w:val="43"/>
        <w:numPr>
          <w:ilvl w:val="255"/>
          <w:numId w:val="0"/>
        </w:numPr>
        <w:spacing w:afterLines="0" w:line="300" w:lineRule="auto"/>
        <w:ind w:firstLine="360"/>
        <w:rPr>
          <w:bCs/>
          <w:sz w:val="20"/>
          <w:szCs w:val="20"/>
        </w:rPr>
      </w:pPr>
      <w:r>
        <w:rPr>
          <w:rFonts w:hint="eastAsia" w:eastAsia="宋体"/>
          <w:bCs/>
          <w:sz w:val="20"/>
          <w:szCs w:val="20"/>
          <w:lang w:eastAsia="zh-CN"/>
        </w:rPr>
        <w:t>The candidate new codebook subset for 4Tx partial-coherent UE</w:t>
      </w:r>
    </w:p>
    <w:p>
      <w:pPr>
        <w:numPr>
          <w:ilvl w:val="1"/>
          <w:numId w:val="6"/>
        </w:numPr>
        <w:snapToGrid w:val="0"/>
        <w:spacing w:line="300" w:lineRule="auto"/>
        <w:ind w:left="1440" w:hanging="360"/>
        <w:rPr>
          <w:szCs w:val="20"/>
          <w:lang w:val="fr-FR"/>
        </w:rPr>
      </w:pPr>
      <w:r>
        <w:rPr>
          <w:szCs w:val="20"/>
          <w:lang w:val="fr-FR"/>
        </w:rPr>
        <w:t xml:space="preserve">Rank1 </w:t>
      </w:r>
      <w:r>
        <w:rPr>
          <w:szCs w:val="20"/>
        </w:rPr>
        <w:t>(CP-OFDM)</w:t>
      </w:r>
      <w:r>
        <w:rPr>
          <w:szCs w:val="20"/>
          <w:lang w:val="fr-FR"/>
        </w:rPr>
        <w:t>:</w:t>
      </w:r>
      <w:r>
        <w:rPr>
          <w:szCs w:val="20"/>
        </w:rPr>
        <w:t xml:space="preserve"> TPMI = 12,13,14,15 </w:t>
      </w:r>
    </w:p>
    <w:p>
      <w:pPr>
        <w:numPr>
          <w:ilvl w:val="1"/>
          <w:numId w:val="6"/>
        </w:numPr>
        <w:snapToGrid w:val="0"/>
        <w:spacing w:line="300" w:lineRule="auto"/>
        <w:ind w:left="1440" w:hanging="360"/>
        <w:rPr>
          <w:szCs w:val="20"/>
          <w:lang w:val="fr-FR"/>
        </w:rPr>
      </w:pPr>
      <w:r>
        <w:rPr>
          <w:szCs w:val="20"/>
          <w:lang w:val="fr-FR"/>
        </w:rPr>
        <w:t xml:space="preserve">Rank1 </w:t>
      </w:r>
      <w:r>
        <w:rPr>
          <w:szCs w:val="20"/>
        </w:rPr>
        <w:t>(DFT-s-OFDM)</w:t>
      </w:r>
      <w:r>
        <w:rPr>
          <w:szCs w:val="20"/>
          <w:lang w:val="fr-FR"/>
        </w:rPr>
        <w:t>:</w:t>
      </w:r>
      <w:r>
        <w:rPr>
          <w:szCs w:val="20"/>
        </w:rPr>
        <w:t xml:space="preserve"> TPMI = 12,13,14,15</w:t>
      </w:r>
    </w:p>
    <w:p>
      <w:pPr>
        <w:numPr>
          <w:ilvl w:val="2"/>
          <w:numId w:val="6"/>
        </w:numPr>
        <w:snapToGrid w:val="0"/>
        <w:spacing w:line="300" w:lineRule="auto"/>
        <w:ind w:left="2160" w:hanging="360"/>
        <w:rPr>
          <w:szCs w:val="20"/>
          <w:lang w:val="fr-FR"/>
        </w:rPr>
      </w:pPr>
      <w:r>
        <w:rPr>
          <w:szCs w:val="20"/>
        </w:rPr>
        <w:t>FFS: TPMI=16, 17, 18, 19</w:t>
      </w:r>
    </w:p>
    <w:p>
      <w:pPr>
        <w:numPr>
          <w:ilvl w:val="1"/>
          <w:numId w:val="6"/>
        </w:numPr>
        <w:snapToGrid w:val="0"/>
        <w:spacing w:line="300" w:lineRule="auto"/>
        <w:ind w:left="1440" w:hanging="360"/>
        <w:rPr>
          <w:rFonts w:eastAsia="Malgun Gothic"/>
          <w:szCs w:val="20"/>
          <w:lang w:val="fr-FR"/>
        </w:rPr>
      </w:pPr>
      <w:r>
        <w:rPr>
          <w:rFonts w:eastAsia="Malgun Gothic"/>
          <w:szCs w:val="20"/>
          <w:lang w:val="fr-FR"/>
        </w:rPr>
        <w:t>FFS: Whether clarification on which port pairs are coherent is needed</w:t>
      </w:r>
    </w:p>
    <w:p>
      <w:pPr>
        <w:pStyle w:val="43"/>
        <w:numPr>
          <w:ilvl w:val="0"/>
          <w:numId w:val="8"/>
        </w:numPr>
        <w:spacing w:afterLines="0" w:line="300" w:lineRule="auto"/>
        <w:rPr>
          <w:bCs/>
          <w:sz w:val="20"/>
          <w:szCs w:val="20"/>
        </w:rPr>
      </w:pPr>
      <w:r>
        <w:rPr>
          <w:rFonts w:hint="eastAsia" w:eastAsia="宋体"/>
          <w:bCs/>
          <w:sz w:val="20"/>
          <w:szCs w:val="20"/>
          <w:lang w:eastAsia="zh-CN"/>
        </w:rPr>
        <w:t xml:space="preserve">Issue #2: </w:t>
      </w:r>
      <w:r>
        <w:rPr>
          <w:bCs/>
          <w:sz w:val="20"/>
          <w:szCs w:val="20"/>
        </w:rPr>
        <w:t>FFS</w:t>
      </w:r>
      <w:r>
        <w:rPr>
          <w:rFonts w:hint="eastAsia" w:eastAsia="宋体"/>
          <w:bCs/>
          <w:sz w:val="20"/>
          <w:szCs w:val="20"/>
          <w:lang w:eastAsia="zh-CN"/>
        </w:rPr>
        <w:t>:</w:t>
      </w:r>
      <w:r>
        <w:rPr>
          <w:bCs/>
          <w:sz w:val="20"/>
          <w:szCs w:val="20"/>
        </w:rPr>
        <w:t xml:space="preserve"> </w:t>
      </w:r>
      <w:r>
        <w:rPr>
          <w:sz w:val="20"/>
          <w:szCs w:val="20"/>
        </w:rPr>
        <w:t>Whether to include antenna selection precoders for full power uplink transmission</w:t>
      </w:r>
      <w:r>
        <w:rPr>
          <w:rFonts w:hint="eastAsia" w:eastAsia="宋体"/>
          <w:sz w:val="20"/>
          <w:szCs w:val="20"/>
          <w:lang w:eastAsia="zh-CN"/>
        </w:rPr>
        <w:t xml:space="preserve"> </w:t>
      </w:r>
      <w:r>
        <w:rPr>
          <w:rFonts w:hint="eastAsia" w:eastAsia="宋体"/>
          <w:bCs/>
          <w:sz w:val="20"/>
          <w:szCs w:val="20"/>
          <w:lang w:eastAsia="zh-CN"/>
        </w:rPr>
        <w:t>(for 4Tx non-coherent UE).</w:t>
      </w:r>
    </w:p>
    <w:p>
      <w:pPr>
        <w:pStyle w:val="43"/>
        <w:numPr>
          <w:ilvl w:val="0"/>
          <w:numId w:val="8"/>
        </w:numPr>
        <w:spacing w:afterLines="0" w:line="300" w:lineRule="auto"/>
        <w:rPr>
          <w:bCs/>
          <w:sz w:val="20"/>
          <w:szCs w:val="20"/>
        </w:rPr>
      </w:pPr>
      <w:r>
        <w:rPr>
          <w:rFonts w:hint="eastAsia" w:eastAsia="宋体"/>
          <w:bCs/>
          <w:sz w:val="20"/>
          <w:szCs w:val="20"/>
          <w:lang w:eastAsia="zh-CN"/>
        </w:rPr>
        <w:t xml:space="preserve">Issue #3: How to </w:t>
      </w:r>
      <w:r>
        <w:rPr>
          <w:rFonts w:eastAsia="宋体"/>
          <w:bCs/>
          <w:sz w:val="20"/>
          <w:szCs w:val="20"/>
          <w:lang w:eastAsia="zh-CN"/>
        </w:rPr>
        <w:t>allow</w:t>
      </w:r>
      <w:r>
        <w:rPr>
          <w:rFonts w:hint="eastAsia" w:eastAsia="宋体"/>
          <w:bCs/>
          <w:sz w:val="20"/>
          <w:szCs w:val="20"/>
          <w:lang w:eastAsia="zh-CN"/>
        </w:rPr>
        <w:t xml:space="preserve"> </w:t>
      </w:r>
      <w:r>
        <w:rPr>
          <w:rFonts w:eastAsia="宋体"/>
          <w:bCs/>
          <w:sz w:val="20"/>
          <w:szCs w:val="20"/>
          <w:lang w:eastAsia="zh-CN"/>
        </w:rPr>
        <w:t xml:space="preserve">the implementation of having </w:t>
      </w:r>
      <w:r>
        <w:rPr>
          <w:rFonts w:hint="eastAsia" w:eastAsia="宋体"/>
          <w:bCs/>
          <w:sz w:val="20"/>
          <w:szCs w:val="20"/>
          <w:lang w:eastAsia="zh-CN"/>
        </w:rPr>
        <w:t>random phase between</w:t>
      </w:r>
      <w:r>
        <w:rPr>
          <w:rFonts w:eastAsia="宋体"/>
          <w:bCs/>
          <w:sz w:val="20"/>
          <w:szCs w:val="20"/>
          <w:lang w:eastAsia="zh-CN"/>
        </w:rPr>
        <w:t xml:space="preserve"> non-coherent</w:t>
      </w:r>
      <w:r>
        <w:rPr>
          <w:rFonts w:hint="eastAsia" w:eastAsia="宋体"/>
          <w:bCs/>
          <w:sz w:val="20"/>
          <w:szCs w:val="20"/>
          <w:lang w:eastAsia="zh-CN"/>
        </w:rPr>
        <w:t xml:space="preserve"> TX ports for non-coherent and partial-coherent UE</w:t>
      </w:r>
      <w:r>
        <w:rPr>
          <w:rFonts w:eastAsia="宋体"/>
          <w:bCs/>
          <w:sz w:val="20"/>
          <w:szCs w:val="20"/>
          <w:lang w:eastAsia="zh-CN"/>
        </w:rPr>
        <w:t>s</w:t>
      </w:r>
      <w:r>
        <w:rPr>
          <w:rFonts w:hint="eastAsia" w:eastAsia="宋体"/>
          <w:bCs/>
          <w:sz w:val="20"/>
          <w:szCs w:val="20"/>
          <w:lang w:eastAsia="zh-CN"/>
        </w:rPr>
        <w:t>.</w:t>
      </w:r>
    </w:p>
    <w:p>
      <w:pPr>
        <w:overflowPunct w:val="0"/>
        <w:autoSpaceDE w:val="0"/>
        <w:autoSpaceDN w:val="0"/>
        <w:adjustRightInd w:val="0"/>
        <w:snapToGrid w:val="0"/>
        <w:spacing w:before="180" w:beforeLines="50" w:after="120" w:line="300" w:lineRule="auto"/>
        <w:jc w:val="both"/>
        <w:textAlignment w:val="baseline"/>
        <w:rPr>
          <w:rFonts w:eastAsia="微软雅黑"/>
          <w:szCs w:val="20"/>
        </w:rPr>
      </w:pPr>
      <w:r>
        <w:rPr>
          <w:rFonts w:hint="eastAsia" w:eastAsia="微软雅黑"/>
          <w:szCs w:val="20"/>
        </w:rPr>
        <w:t xml:space="preserve">Regarding issue #1, the ability of partial coherent UE which is to control relative phase between </w:t>
      </w:r>
      <w:r>
        <w:rPr>
          <w:rFonts w:eastAsia="微软雅黑"/>
          <w:szCs w:val="20"/>
        </w:rPr>
        <w:t xml:space="preserve">(coherent) </w:t>
      </w:r>
      <w:r>
        <w:rPr>
          <w:rFonts w:hint="eastAsia" w:eastAsia="微软雅黑"/>
          <w:szCs w:val="20"/>
        </w:rPr>
        <w:t xml:space="preserve">antenna ports must be taken into account. Specifically, although the relative phase cannot be controlled between </w:t>
      </w:r>
      <w:r>
        <w:rPr>
          <w:rFonts w:eastAsia="微软雅黑"/>
          <w:szCs w:val="20"/>
        </w:rPr>
        <w:t xml:space="preserve">coherent </w:t>
      </w:r>
      <w:r>
        <w:rPr>
          <w:rFonts w:hint="eastAsia" w:eastAsia="微软雅黑"/>
          <w:szCs w:val="20"/>
        </w:rPr>
        <w:t xml:space="preserve">port groups [0, 2] and [1, 3], the relative phase could be controlled between ports within </w:t>
      </w:r>
      <w:r>
        <w:rPr>
          <w:rFonts w:eastAsia="微软雅黑"/>
          <w:szCs w:val="20"/>
        </w:rPr>
        <w:t>each</w:t>
      </w:r>
      <w:r>
        <w:rPr>
          <w:rFonts w:hint="eastAsia" w:eastAsia="微软雅黑"/>
          <w:szCs w:val="20"/>
        </w:rPr>
        <w:t xml:space="preserve"> </w:t>
      </w:r>
      <w:r>
        <w:rPr>
          <w:rFonts w:eastAsia="微软雅黑"/>
          <w:szCs w:val="20"/>
        </w:rPr>
        <w:t xml:space="preserve">coherent </w:t>
      </w:r>
      <w:r>
        <w:rPr>
          <w:rFonts w:hint="eastAsia" w:eastAsia="微软雅黑"/>
          <w:szCs w:val="20"/>
        </w:rPr>
        <w:t xml:space="preserve">port group. Rank 1 TPMI </w:t>
      </w:r>
      <w:r>
        <w:rPr>
          <w:rFonts w:eastAsia="微软雅黑"/>
          <w:szCs w:val="20"/>
        </w:rPr>
        <w:t>=16, 17, 18, 19</w:t>
      </w:r>
      <w:r>
        <w:rPr>
          <w:rFonts w:hint="eastAsia" w:eastAsia="微软雅黑"/>
          <w:szCs w:val="20"/>
        </w:rPr>
        <w:t xml:space="preserve"> for </w:t>
      </w:r>
      <w:r>
        <w:rPr>
          <w:rFonts w:eastAsia="微软雅黑"/>
          <w:szCs w:val="20"/>
        </w:rPr>
        <w:t>DFT-s-OFDM</w:t>
      </w:r>
      <w:r>
        <w:rPr>
          <w:rFonts w:hint="eastAsia" w:eastAsia="微软雅黑"/>
          <w:szCs w:val="20"/>
        </w:rPr>
        <w:t xml:space="preserve"> waveform cannot be represented by </w:t>
      </w:r>
      <w:r>
        <w:rPr>
          <w:rFonts w:eastAsia="微软雅黑"/>
          <w:szCs w:val="20"/>
        </w:rPr>
        <w:t>TPMI = 12,</w:t>
      </w:r>
      <w:r>
        <w:rPr>
          <w:rFonts w:hint="eastAsia" w:eastAsia="微软雅黑"/>
          <w:szCs w:val="20"/>
        </w:rPr>
        <w:t xml:space="preserve"> </w:t>
      </w:r>
      <w:r>
        <w:rPr>
          <w:rFonts w:eastAsia="微软雅黑"/>
          <w:szCs w:val="20"/>
        </w:rPr>
        <w:t>13,</w:t>
      </w:r>
      <w:r>
        <w:rPr>
          <w:rFonts w:hint="eastAsia" w:eastAsia="微软雅黑"/>
          <w:szCs w:val="20"/>
        </w:rPr>
        <w:t xml:space="preserve"> </w:t>
      </w:r>
      <w:r>
        <w:rPr>
          <w:rFonts w:eastAsia="微软雅黑"/>
          <w:szCs w:val="20"/>
        </w:rPr>
        <w:t>14,</w:t>
      </w:r>
      <w:r>
        <w:rPr>
          <w:rFonts w:hint="eastAsia" w:eastAsia="微软雅黑"/>
          <w:szCs w:val="20"/>
        </w:rPr>
        <w:t xml:space="preserve"> </w:t>
      </w:r>
      <w:r>
        <w:rPr>
          <w:rFonts w:eastAsia="微软雅黑"/>
          <w:szCs w:val="20"/>
        </w:rPr>
        <w:t xml:space="preserve">15 </w:t>
      </w:r>
      <w:r>
        <w:rPr>
          <w:rFonts w:hint="eastAsia" w:eastAsia="微软雅黑"/>
          <w:szCs w:val="20"/>
        </w:rPr>
        <w:t xml:space="preserve">which have been already agreed, so it is reasonable to allow Rank 1 TPMI </w:t>
      </w:r>
      <w:r>
        <w:rPr>
          <w:rFonts w:eastAsia="微软雅黑"/>
          <w:szCs w:val="20"/>
        </w:rPr>
        <w:t>=16, 17, 18, 19</w:t>
      </w:r>
      <w:r>
        <w:rPr>
          <w:rFonts w:hint="eastAsia" w:eastAsia="微软雅黑"/>
          <w:szCs w:val="20"/>
        </w:rPr>
        <w:t xml:space="preserve"> for </w:t>
      </w:r>
      <w:r>
        <w:rPr>
          <w:rFonts w:eastAsia="微软雅黑"/>
          <w:szCs w:val="20"/>
        </w:rPr>
        <w:t>DFT-s-OFDM</w:t>
      </w:r>
      <w:r>
        <w:rPr>
          <w:rFonts w:hint="eastAsia" w:eastAsia="微软雅黑"/>
          <w:szCs w:val="20"/>
        </w:rPr>
        <w:t xml:space="preserve"> waveform UE.</w:t>
      </w:r>
    </w:p>
    <w:p>
      <w:pPr>
        <w:overflowPunct w:val="0"/>
        <w:autoSpaceDE w:val="0"/>
        <w:autoSpaceDN w:val="0"/>
        <w:adjustRightInd w:val="0"/>
        <w:snapToGrid w:val="0"/>
        <w:spacing w:before="180" w:beforeLines="50" w:after="120" w:line="300" w:lineRule="auto"/>
        <w:jc w:val="both"/>
        <w:textAlignment w:val="baseline"/>
        <w:rPr>
          <w:rFonts w:eastAsia="微软雅黑"/>
          <w:szCs w:val="20"/>
        </w:rPr>
      </w:pPr>
      <w:r>
        <w:rPr>
          <w:rFonts w:hint="eastAsia" w:eastAsia="微软雅黑"/>
          <w:szCs w:val="20"/>
        </w:rPr>
        <w:t>As for coherent port pairs for partial-coherent UE, it is straightforward to follow the scheme in Rel-15 which means no clarification is needed but there is an assumption, i.e. port 0 and 2 are coherent pair, and port 1 and 3 are coherent pair.</w:t>
      </w:r>
    </w:p>
    <w:p>
      <w:pPr>
        <w:overflowPunct w:val="0"/>
        <w:autoSpaceDE w:val="0"/>
        <w:autoSpaceDN w:val="0"/>
        <w:adjustRightInd w:val="0"/>
        <w:snapToGrid w:val="0"/>
        <w:spacing w:before="180" w:beforeLines="50" w:after="120" w:line="300" w:lineRule="auto"/>
        <w:jc w:val="both"/>
        <w:textAlignment w:val="baseline"/>
        <w:rPr>
          <w:rFonts w:eastAsia="宋体"/>
          <w:i/>
          <w:iCs/>
          <w:szCs w:val="20"/>
        </w:rPr>
      </w:pPr>
      <w:r>
        <w:rPr>
          <w:rFonts w:hint="eastAsia" w:eastAsia="宋体"/>
          <w:b/>
          <w:bCs/>
          <w:i/>
          <w:iCs/>
          <w:szCs w:val="20"/>
        </w:rPr>
        <w:t xml:space="preserve">Proposal 1: </w:t>
      </w:r>
      <w:r>
        <w:rPr>
          <w:rFonts w:hint="eastAsia" w:eastAsia="宋体"/>
          <w:i/>
          <w:iCs/>
          <w:szCs w:val="20"/>
        </w:rPr>
        <w:t>For partial-coherent UE with DFT-s-OFDM in mode 1, 4TX Rank 1, TPMI 16, 17,</w:t>
      </w:r>
      <w:r>
        <w:rPr>
          <w:rFonts w:eastAsia="宋体"/>
          <w:i/>
          <w:iCs/>
          <w:szCs w:val="20"/>
        </w:rPr>
        <w:t xml:space="preserve"> 18, </w:t>
      </w:r>
      <w:r>
        <w:rPr>
          <w:rFonts w:hint="eastAsia" w:eastAsia="宋体"/>
          <w:i/>
          <w:iCs/>
          <w:szCs w:val="20"/>
        </w:rPr>
        <w:t>19 should be allowed.</w:t>
      </w:r>
    </w:p>
    <w:p>
      <w:pPr>
        <w:numPr>
          <w:ilvl w:val="0"/>
          <w:numId w:val="5"/>
        </w:numPr>
        <w:overflowPunct w:val="0"/>
        <w:autoSpaceDE w:val="0"/>
        <w:autoSpaceDN w:val="0"/>
        <w:adjustRightInd w:val="0"/>
        <w:snapToGrid w:val="0"/>
        <w:spacing w:before="90" w:beforeLines="25" w:after="120" w:line="300" w:lineRule="auto"/>
        <w:ind w:hanging="357"/>
        <w:jc w:val="both"/>
        <w:textAlignment w:val="baseline"/>
        <w:rPr>
          <w:rFonts w:eastAsia="宋体"/>
          <w:i/>
          <w:iCs/>
          <w:szCs w:val="20"/>
        </w:rPr>
      </w:pPr>
      <w:r>
        <w:rPr>
          <w:rFonts w:hint="eastAsia" w:eastAsia="宋体"/>
          <w:i/>
          <w:iCs/>
          <w:szCs w:val="20"/>
        </w:rPr>
        <w:t>No need to</w:t>
      </w:r>
      <w:r>
        <w:rPr>
          <w:rFonts w:eastAsia="宋体"/>
          <w:i/>
          <w:iCs/>
          <w:szCs w:val="20"/>
        </w:rPr>
        <w:t xml:space="preserve"> further clarify </w:t>
      </w:r>
      <w:r>
        <w:rPr>
          <w:rFonts w:eastAsia="宋体"/>
          <w:i/>
          <w:iCs/>
          <w:szCs w:val="20"/>
          <w:lang w:val="fr-FR"/>
        </w:rPr>
        <w:t>which port</w:t>
      </w:r>
      <w:r>
        <w:rPr>
          <w:rFonts w:eastAsia="Malgun Gothic"/>
          <w:i/>
          <w:iCs/>
          <w:szCs w:val="20"/>
          <w:lang w:val="fr-FR"/>
        </w:rPr>
        <w:t xml:space="preserve"> pairs are coherent in RAN1 spec</w:t>
      </w:r>
      <w:r>
        <w:rPr>
          <w:rFonts w:hint="eastAsia" w:eastAsia="Malgun Gothic"/>
          <w:i/>
          <w:iCs/>
          <w:szCs w:val="20"/>
        </w:rPr>
        <w:t>.</w:t>
      </w:r>
    </w:p>
    <w:p>
      <w:pPr>
        <w:overflowPunct w:val="0"/>
        <w:autoSpaceDE w:val="0"/>
        <w:autoSpaceDN w:val="0"/>
        <w:adjustRightInd w:val="0"/>
        <w:snapToGrid w:val="0"/>
        <w:spacing w:before="180" w:beforeLines="50" w:after="120" w:line="300" w:lineRule="auto"/>
        <w:jc w:val="both"/>
        <w:textAlignment w:val="baseline"/>
        <w:rPr>
          <w:rFonts w:eastAsia="微软雅黑"/>
          <w:szCs w:val="20"/>
        </w:rPr>
      </w:pPr>
      <w:r>
        <w:rPr>
          <w:rFonts w:eastAsia="微软雅黑"/>
          <w:szCs w:val="20"/>
        </w:rPr>
        <w:t xml:space="preserve">Regarding </w:t>
      </w:r>
      <w:r>
        <w:rPr>
          <w:rFonts w:hint="eastAsia" w:eastAsia="微软雅黑"/>
          <w:szCs w:val="20"/>
        </w:rPr>
        <w:t>issue #2, if the TPMI(s) with part of ports can deliver full power transmission, it needs power capability report for such TPMI(s) as in mode 2.</w:t>
      </w:r>
      <w:r>
        <w:rPr>
          <w:rFonts w:eastAsia="微软雅黑"/>
          <w:szCs w:val="20"/>
        </w:rPr>
        <w:t xml:space="preserve"> Taking into account that this </w:t>
      </w:r>
      <w:r>
        <w:rPr>
          <w:rFonts w:hint="eastAsia" w:eastAsia="微软雅黑"/>
          <w:szCs w:val="20"/>
        </w:rPr>
        <w:t xml:space="preserve">case </w:t>
      </w:r>
      <w:r>
        <w:rPr>
          <w:rFonts w:eastAsia="微软雅黑"/>
          <w:szCs w:val="20"/>
        </w:rPr>
        <w:t>can be well</w:t>
      </w:r>
      <w:r>
        <w:rPr>
          <w:rFonts w:hint="eastAsia" w:eastAsia="微软雅黑"/>
          <w:szCs w:val="20"/>
        </w:rPr>
        <w:t xml:space="preserve"> supported in </w:t>
      </w:r>
      <w:r>
        <w:rPr>
          <w:rFonts w:eastAsia="微软雅黑"/>
          <w:szCs w:val="20"/>
        </w:rPr>
        <w:t>M</w:t>
      </w:r>
      <w:r>
        <w:rPr>
          <w:rFonts w:hint="eastAsia" w:eastAsia="微软雅黑"/>
          <w:szCs w:val="20"/>
        </w:rPr>
        <w:t xml:space="preserve">ode 2, </w:t>
      </w:r>
      <w:r>
        <w:rPr>
          <w:rFonts w:eastAsia="微软雅黑"/>
          <w:szCs w:val="20"/>
        </w:rPr>
        <w:t xml:space="preserve">the usages and benefits of </w:t>
      </w:r>
      <w:r>
        <w:rPr>
          <w:rFonts w:hint="eastAsia" w:eastAsia="微软雅黑"/>
          <w:szCs w:val="20"/>
        </w:rPr>
        <w:t>further support</w:t>
      </w:r>
      <w:r>
        <w:rPr>
          <w:rFonts w:eastAsia="微软雅黑"/>
          <w:szCs w:val="20"/>
        </w:rPr>
        <w:t>ing</w:t>
      </w:r>
      <w:r>
        <w:rPr>
          <w:rFonts w:hint="eastAsia" w:eastAsia="微软雅黑"/>
          <w:szCs w:val="20"/>
        </w:rPr>
        <w:t xml:space="preserve"> </w:t>
      </w:r>
      <w:r>
        <w:rPr>
          <w:rFonts w:eastAsia="微软雅黑"/>
          <w:szCs w:val="20"/>
        </w:rPr>
        <w:t xml:space="preserve">antenna selection </w:t>
      </w:r>
      <w:r>
        <w:rPr>
          <w:rFonts w:hint="eastAsia" w:eastAsia="微软雅黑"/>
          <w:szCs w:val="20"/>
        </w:rPr>
        <w:t>TPMI</w:t>
      </w:r>
      <w:r>
        <w:rPr>
          <w:rFonts w:eastAsia="微软雅黑"/>
          <w:szCs w:val="20"/>
        </w:rPr>
        <w:t>s</w:t>
      </w:r>
      <w:r>
        <w:rPr>
          <w:rFonts w:hint="eastAsia" w:eastAsia="微软雅黑"/>
          <w:szCs w:val="20"/>
        </w:rPr>
        <w:t xml:space="preserve"> reaching full rated power in </w:t>
      </w:r>
      <w:r>
        <w:rPr>
          <w:rFonts w:eastAsia="微软雅黑"/>
          <w:szCs w:val="20"/>
        </w:rPr>
        <w:t>M</w:t>
      </w:r>
      <w:r>
        <w:rPr>
          <w:rFonts w:hint="eastAsia" w:eastAsia="微软雅黑"/>
          <w:szCs w:val="20"/>
        </w:rPr>
        <w:t>ode 1</w:t>
      </w:r>
      <w:r>
        <w:rPr>
          <w:rFonts w:eastAsia="微软雅黑"/>
          <w:szCs w:val="20"/>
        </w:rPr>
        <w:t xml:space="preserve"> should be fully evaluated</w:t>
      </w:r>
      <w:r>
        <w:rPr>
          <w:rFonts w:hint="eastAsia" w:eastAsia="微软雅黑"/>
          <w:szCs w:val="20"/>
        </w:rPr>
        <w:t xml:space="preserve">. </w:t>
      </w:r>
    </w:p>
    <w:p>
      <w:pPr>
        <w:overflowPunct w:val="0"/>
        <w:autoSpaceDE w:val="0"/>
        <w:autoSpaceDN w:val="0"/>
        <w:adjustRightInd w:val="0"/>
        <w:snapToGrid w:val="0"/>
        <w:spacing w:before="180" w:beforeLines="50" w:after="120" w:line="300" w:lineRule="auto"/>
        <w:jc w:val="both"/>
        <w:textAlignment w:val="baseline"/>
        <w:rPr>
          <w:rFonts w:eastAsia="微软雅黑"/>
          <w:szCs w:val="20"/>
        </w:rPr>
      </w:pPr>
      <w:r>
        <w:rPr>
          <w:rFonts w:eastAsia="微软雅黑"/>
          <w:szCs w:val="20"/>
        </w:rPr>
        <w:t xml:space="preserve">Regarding </w:t>
      </w:r>
      <w:r>
        <w:rPr>
          <w:rFonts w:hint="eastAsia" w:eastAsia="微软雅黑"/>
          <w:szCs w:val="20"/>
        </w:rPr>
        <w:t xml:space="preserve">issue #3, </w:t>
      </w:r>
      <w:r>
        <w:rPr>
          <w:rFonts w:eastAsia="微软雅黑"/>
          <w:szCs w:val="20"/>
        </w:rPr>
        <w:t xml:space="preserve">the </w:t>
      </w:r>
      <w:r>
        <w:rPr>
          <w:rFonts w:hint="eastAsia" w:eastAsia="微软雅黑"/>
          <w:szCs w:val="20"/>
        </w:rPr>
        <w:t xml:space="preserve">non-coherent </w:t>
      </w:r>
      <w:r>
        <w:rPr>
          <w:rFonts w:eastAsia="微软雅黑"/>
          <w:szCs w:val="20"/>
        </w:rPr>
        <w:t>and</w:t>
      </w:r>
      <w:r>
        <w:rPr>
          <w:rFonts w:hint="eastAsia" w:eastAsia="微软雅黑"/>
          <w:szCs w:val="20"/>
        </w:rPr>
        <w:t xml:space="preserve"> partial-coherent UE cannot ensure the relative phase indicated by new allowed TPMIs for full power, </w:t>
      </w:r>
      <w:r>
        <w:rPr>
          <w:rFonts w:eastAsia="微软雅黑"/>
          <w:szCs w:val="20"/>
        </w:rPr>
        <w:t>and consequently, from</w:t>
      </w:r>
      <w:r>
        <w:rPr>
          <w:rFonts w:hint="eastAsia" w:eastAsia="微软雅黑"/>
          <w:szCs w:val="20"/>
        </w:rPr>
        <w:t xml:space="preserve"> the spec</w:t>
      </w:r>
      <w:r>
        <w:rPr>
          <w:rFonts w:eastAsia="微软雅黑"/>
          <w:szCs w:val="20"/>
        </w:rPr>
        <w:t xml:space="preserve"> perspective,</w:t>
      </w:r>
      <w:r>
        <w:rPr>
          <w:rFonts w:hint="eastAsia" w:eastAsia="微软雅黑"/>
          <w:szCs w:val="20"/>
        </w:rPr>
        <w:t xml:space="preserve"> the random</w:t>
      </w:r>
      <w:r>
        <w:rPr>
          <w:rFonts w:eastAsia="微软雅黑"/>
          <w:szCs w:val="20"/>
        </w:rPr>
        <w:t>/uncontrolled relative</w:t>
      </w:r>
      <w:r>
        <w:rPr>
          <w:rFonts w:hint="eastAsia" w:eastAsia="微软雅黑"/>
          <w:szCs w:val="20"/>
        </w:rPr>
        <w:t xml:space="preserve"> phase</w:t>
      </w:r>
      <w:r>
        <w:rPr>
          <w:rFonts w:eastAsia="微软雅黑"/>
          <w:szCs w:val="20"/>
        </w:rPr>
        <w:t>(s)</w:t>
      </w:r>
      <w:r>
        <w:rPr>
          <w:rFonts w:hint="eastAsia" w:eastAsia="微软雅黑"/>
          <w:szCs w:val="20"/>
        </w:rPr>
        <w:t xml:space="preserve"> between TX ports for non-coherent and partial-coherent UE</w:t>
      </w:r>
      <w:r>
        <w:rPr>
          <w:rFonts w:eastAsia="微软雅黑"/>
          <w:szCs w:val="20"/>
        </w:rPr>
        <w:t xml:space="preserve"> should be specified</w:t>
      </w:r>
      <w:r>
        <w:rPr>
          <w:rFonts w:hint="eastAsia" w:eastAsia="微软雅黑"/>
          <w:szCs w:val="20"/>
        </w:rPr>
        <w:t xml:space="preserve">. </w:t>
      </w:r>
      <w:r>
        <w:rPr>
          <w:rFonts w:eastAsia="微软雅黑"/>
          <w:szCs w:val="20"/>
        </w:rPr>
        <w:t>In practice, t</w:t>
      </w:r>
      <w:r>
        <w:rPr>
          <w:rFonts w:hint="eastAsia" w:eastAsia="微软雅黑"/>
          <w:szCs w:val="20"/>
        </w:rPr>
        <w:t xml:space="preserve">he precoding matrices for the new extended TPMIs are shown in </w:t>
      </w:r>
      <w:r>
        <w:rPr>
          <w:rFonts w:eastAsia="微软雅黑"/>
          <w:szCs w:val="20"/>
        </w:rPr>
        <w:t>T</w:t>
      </w:r>
      <w:r>
        <w:rPr>
          <w:rFonts w:hint="eastAsia" w:eastAsia="微软雅黑"/>
          <w:szCs w:val="20"/>
        </w:rPr>
        <w:t>able 1.</w:t>
      </w:r>
    </w:p>
    <w:p>
      <w:pPr>
        <w:snapToGrid w:val="0"/>
        <w:spacing w:before="108" w:beforeLines="30" w:after="72" w:afterLines="20"/>
        <w:jc w:val="center"/>
        <w:rPr>
          <w:rFonts w:eastAsia="宋体"/>
          <w:b/>
          <w:szCs w:val="20"/>
        </w:rPr>
      </w:pPr>
      <w:r>
        <w:rPr>
          <w:rFonts w:hint="eastAsia" w:eastAsia="宋体"/>
          <w:b/>
          <w:szCs w:val="20"/>
        </w:rPr>
        <w:t>Table 1. Random phase between TX ports for new TPMI(s) for non-coherent and partial-coherent UE</w:t>
      </w:r>
    </w:p>
    <w:tbl>
      <w:tblPr>
        <w:tblStyle w:val="28"/>
        <w:tblW w:w="9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7"/>
        <w:gridCol w:w="1846"/>
        <w:gridCol w:w="6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7" w:type="dxa"/>
            <w:shd w:val="clear" w:color="auto" w:fill="D7D7D7" w:themeFill="background1" w:themeFillShade="D8"/>
          </w:tcPr>
          <w:p>
            <w:pPr>
              <w:snapToGrid w:val="0"/>
              <w:spacing w:before="108" w:beforeLines="30" w:after="72" w:afterLines="20"/>
              <w:jc w:val="both"/>
              <w:rPr>
                <w:rFonts w:eastAsia="宋体"/>
              </w:rPr>
            </w:pPr>
          </w:p>
        </w:tc>
        <w:tc>
          <w:tcPr>
            <w:tcW w:w="1846" w:type="dxa"/>
            <w:shd w:val="clear" w:color="auto" w:fill="D7D7D7" w:themeFill="background1" w:themeFillShade="D8"/>
          </w:tcPr>
          <w:p>
            <w:pPr>
              <w:snapToGrid w:val="0"/>
              <w:spacing w:before="108" w:beforeLines="30" w:after="72" w:afterLines="20"/>
              <w:jc w:val="center"/>
              <w:rPr>
                <w:rFonts w:eastAsia="宋体"/>
              </w:rPr>
            </w:pPr>
            <w:r>
              <w:rPr>
                <w:rFonts w:hint="eastAsia" w:eastAsia="宋体"/>
              </w:rPr>
              <w:t>New TPMI(s)</w:t>
            </w:r>
          </w:p>
        </w:tc>
        <w:tc>
          <w:tcPr>
            <w:tcW w:w="6184" w:type="dxa"/>
            <w:shd w:val="clear" w:color="auto" w:fill="D7D7D7" w:themeFill="background1" w:themeFillShade="D8"/>
          </w:tcPr>
          <w:p>
            <w:pPr>
              <w:snapToGrid w:val="0"/>
              <w:spacing w:before="108" w:beforeLines="30" w:after="72" w:afterLines="20"/>
              <w:jc w:val="center"/>
              <w:rPr>
                <w:rFonts w:eastAsia="楷体_GB2312"/>
                <w:position w:val="-30"/>
                <w:sz w:val="28"/>
                <w:szCs w:val="28"/>
              </w:rPr>
            </w:pPr>
            <w:r>
              <w:rPr>
                <w:rFonts w:hint="eastAsia" w:eastAsia="宋体"/>
                <w:bCs/>
                <w:szCs w:val="20"/>
              </w:rPr>
              <w:t>Precoding matrices in reality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7" w:type="dxa"/>
            <w:shd w:val="clear" w:color="auto" w:fill="auto"/>
            <w:vAlign w:val="center"/>
          </w:tcPr>
          <w:p>
            <w:pPr>
              <w:snapToGrid w:val="0"/>
              <w:spacing w:before="108" w:beforeLines="30" w:after="72" w:afterLines="20"/>
              <w:jc w:val="both"/>
              <w:rPr>
                <w:rFonts w:eastAsia="楷体_GB2312"/>
                <w:szCs w:val="20"/>
              </w:rPr>
            </w:pPr>
            <w:r>
              <w:rPr>
                <w:rFonts w:hint="eastAsia" w:eastAsia="楷体_GB2312"/>
                <w:szCs w:val="20"/>
              </w:rPr>
              <w:t>Non-coherent</w:t>
            </w:r>
          </w:p>
          <w:p>
            <w:pPr>
              <w:snapToGrid w:val="0"/>
              <w:spacing w:before="108" w:beforeLines="30" w:after="72" w:afterLines="20"/>
              <w:jc w:val="both"/>
              <w:rPr>
                <w:rFonts w:eastAsia="楷体_GB2312"/>
                <w:szCs w:val="20"/>
              </w:rPr>
            </w:pPr>
            <w:r>
              <w:rPr>
                <w:rFonts w:hint="eastAsia" w:eastAsia="楷体_GB2312"/>
                <w:szCs w:val="20"/>
              </w:rPr>
              <w:t>2TX</w:t>
            </w:r>
          </w:p>
        </w:tc>
        <w:tc>
          <w:tcPr>
            <w:tcW w:w="1846" w:type="dxa"/>
          </w:tcPr>
          <w:p>
            <w:pPr>
              <w:snapToGrid w:val="0"/>
              <w:spacing w:before="108" w:beforeLines="30" w:after="72" w:afterLines="20"/>
              <w:jc w:val="both"/>
              <w:rPr>
                <w:rFonts w:eastAsia="宋体"/>
              </w:rPr>
            </w:pPr>
            <w:r>
              <w:rPr>
                <w:rFonts w:hint="eastAsia" w:eastAsia="楷体_GB2312"/>
                <w:szCs w:val="20"/>
              </w:rPr>
              <w:t>Rank 1, TPMI=2</w:t>
            </w:r>
          </w:p>
        </w:tc>
        <w:tc>
          <w:tcPr>
            <w:tcW w:w="6184" w:type="dxa"/>
          </w:tcPr>
          <w:p>
            <w:pPr>
              <w:rPr>
                <w:rFonts w:eastAsia="楷体_GB2312"/>
                <w:position w:val="-30"/>
                <w:sz w:val="28"/>
                <w:szCs w:val="28"/>
              </w:rPr>
            </w:pPr>
            <w:r>
              <w:rPr>
                <w:rFonts w:hint="eastAsia" w:eastAsia="楷体_GB2312"/>
                <w:position w:val="-30"/>
                <w:sz w:val="28"/>
                <w:szCs w:val="28"/>
              </w:rPr>
              <w:object>
                <v:shape id="_x0000_i1025" o:spt="75" type="#_x0000_t75" style="height:28.1pt;width:31.95pt;" o:ole="t"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7" w:type="dxa"/>
            <w:vMerge w:val="restart"/>
            <w:shd w:val="clear" w:color="auto" w:fill="auto"/>
            <w:vAlign w:val="center"/>
          </w:tcPr>
          <w:p>
            <w:pPr>
              <w:snapToGrid w:val="0"/>
              <w:spacing w:before="108" w:beforeLines="30" w:after="72" w:afterLines="20"/>
              <w:jc w:val="both"/>
              <w:rPr>
                <w:rFonts w:eastAsia="楷体_GB2312"/>
                <w:szCs w:val="20"/>
              </w:rPr>
            </w:pPr>
            <w:r>
              <w:rPr>
                <w:rFonts w:hint="eastAsia" w:eastAsia="楷体_GB2312"/>
                <w:szCs w:val="20"/>
              </w:rPr>
              <w:t>Non-coherent</w:t>
            </w:r>
          </w:p>
          <w:p>
            <w:pPr>
              <w:jc w:val="both"/>
              <w:rPr>
                <w:rFonts w:eastAsia="楷体_GB2312"/>
                <w:szCs w:val="20"/>
              </w:rPr>
            </w:pPr>
            <w:r>
              <w:rPr>
                <w:rFonts w:hint="eastAsia" w:eastAsia="楷体_GB2312"/>
                <w:szCs w:val="20"/>
              </w:rPr>
              <w:t>4TX</w:t>
            </w:r>
          </w:p>
        </w:tc>
        <w:tc>
          <w:tcPr>
            <w:tcW w:w="1846" w:type="dxa"/>
          </w:tcPr>
          <w:p>
            <w:pPr>
              <w:rPr>
                <w:rFonts w:eastAsia="宋体"/>
              </w:rPr>
            </w:pPr>
            <w:r>
              <w:rPr>
                <w:rFonts w:hint="eastAsia" w:eastAsia="楷体_GB2312"/>
                <w:szCs w:val="20"/>
              </w:rPr>
              <w:t>Rank 1, TPMI=13</w:t>
            </w:r>
          </w:p>
        </w:tc>
        <w:tc>
          <w:tcPr>
            <w:tcW w:w="6184" w:type="dxa"/>
          </w:tcPr>
          <w:p>
            <w:pPr>
              <w:rPr>
                <w:rFonts w:eastAsia="楷体_GB2312"/>
                <w:position w:val="-30"/>
                <w:sz w:val="28"/>
                <w:szCs w:val="28"/>
              </w:rPr>
            </w:pPr>
            <w:r>
              <w:rPr>
                <w:rFonts w:hint="eastAsia" w:eastAsia="楷体_GB2312"/>
                <w:position w:val="-66"/>
                <w:sz w:val="28"/>
                <w:szCs w:val="28"/>
              </w:rPr>
              <w:object>
                <v:shape id="_x0000_i1026" o:spt="75" type="#_x0000_t75" style="height:58.15pt;width:25.4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7" w:type="dxa"/>
            <w:vMerge w:val="continue"/>
            <w:shd w:val="clear" w:color="auto" w:fill="auto"/>
            <w:vAlign w:val="center"/>
          </w:tcPr>
          <w:p>
            <w:pPr>
              <w:snapToGrid w:val="0"/>
              <w:spacing w:before="108" w:beforeLines="30" w:after="72" w:afterLines="20"/>
              <w:jc w:val="both"/>
              <w:rPr>
                <w:rFonts w:eastAsia="楷体_GB2312"/>
                <w:szCs w:val="20"/>
              </w:rPr>
            </w:pPr>
          </w:p>
        </w:tc>
        <w:tc>
          <w:tcPr>
            <w:tcW w:w="1846" w:type="dxa"/>
          </w:tcPr>
          <w:p>
            <w:pPr>
              <w:snapToGrid w:val="0"/>
              <w:spacing w:before="108" w:beforeLines="30" w:after="72" w:afterLines="20"/>
              <w:jc w:val="both"/>
              <w:rPr>
                <w:rFonts w:eastAsia="楷体_GB2312"/>
                <w:szCs w:val="20"/>
              </w:rPr>
            </w:pPr>
            <w:r>
              <w:rPr>
                <w:rFonts w:hint="eastAsia" w:eastAsia="楷体_GB2312"/>
                <w:szCs w:val="20"/>
              </w:rPr>
              <w:t>Rank 2, TPMI=6</w:t>
            </w:r>
          </w:p>
        </w:tc>
        <w:tc>
          <w:tcPr>
            <w:tcW w:w="6184" w:type="dxa"/>
          </w:tcPr>
          <w:p>
            <w:pPr>
              <w:rPr>
                <w:rFonts w:eastAsia="楷体_GB2312"/>
                <w:position w:val="-66"/>
                <w:sz w:val="28"/>
                <w:szCs w:val="28"/>
              </w:rPr>
            </w:pPr>
            <w:r>
              <w:rPr>
                <w:rFonts w:hint="eastAsia" w:eastAsia="楷体_GB2312"/>
                <w:position w:val="-66"/>
                <w:sz w:val="28"/>
                <w:szCs w:val="28"/>
              </w:rPr>
              <w:object>
                <v:shape id="_x0000_i1027" o:spt="75" type="#_x0000_t75" style="height:57.75pt;width:40.8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8">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7" w:type="dxa"/>
            <w:vMerge w:val="continue"/>
            <w:shd w:val="clear" w:color="auto" w:fill="auto"/>
            <w:vAlign w:val="center"/>
          </w:tcPr>
          <w:p>
            <w:pPr>
              <w:snapToGrid w:val="0"/>
              <w:spacing w:before="108" w:beforeLines="30" w:after="72" w:afterLines="20"/>
              <w:jc w:val="both"/>
              <w:rPr>
                <w:rFonts w:eastAsia="楷体_GB2312"/>
                <w:szCs w:val="20"/>
              </w:rPr>
            </w:pPr>
          </w:p>
        </w:tc>
        <w:tc>
          <w:tcPr>
            <w:tcW w:w="1846" w:type="dxa"/>
          </w:tcPr>
          <w:p>
            <w:pPr>
              <w:snapToGrid w:val="0"/>
              <w:spacing w:before="108" w:beforeLines="30" w:after="72" w:afterLines="20"/>
              <w:jc w:val="both"/>
              <w:rPr>
                <w:rFonts w:eastAsia="宋体"/>
              </w:rPr>
            </w:pPr>
            <w:r>
              <w:rPr>
                <w:rFonts w:hint="eastAsia" w:eastAsia="楷体_GB2312"/>
                <w:szCs w:val="20"/>
              </w:rPr>
              <w:t>Rank 3, TPMI=1</w:t>
            </w:r>
          </w:p>
        </w:tc>
        <w:tc>
          <w:tcPr>
            <w:tcW w:w="6184" w:type="dxa"/>
          </w:tcPr>
          <w:p>
            <w:pPr>
              <w:rPr>
                <w:rFonts w:eastAsia="宋体"/>
              </w:rPr>
            </w:pPr>
            <w:r>
              <w:rPr>
                <w:rFonts w:hint="eastAsia" w:eastAsia="楷体_GB2312"/>
                <w:position w:val="-66"/>
                <w:sz w:val="28"/>
                <w:szCs w:val="28"/>
              </w:rPr>
              <w:object>
                <v:shape id="_x0000_i1028" o:spt="75" type="#_x0000_t75" style="height:57.75pt;width:52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0">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7" w:type="dxa"/>
            <w:shd w:val="clear" w:color="auto" w:fill="auto"/>
            <w:vAlign w:val="center"/>
          </w:tcPr>
          <w:p>
            <w:pPr>
              <w:snapToGrid w:val="0"/>
              <w:spacing w:before="108" w:beforeLines="30" w:after="72" w:afterLines="20"/>
              <w:jc w:val="both"/>
              <w:rPr>
                <w:rFonts w:eastAsia="楷体_GB2312"/>
                <w:szCs w:val="20"/>
              </w:rPr>
            </w:pPr>
            <w:r>
              <w:rPr>
                <w:rFonts w:hint="eastAsia" w:eastAsia="楷体_GB2312"/>
                <w:szCs w:val="20"/>
              </w:rPr>
              <w:t>Partial-coherent</w:t>
            </w:r>
          </w:p>
          <w:p>
            <w:pPr>
              <w:snapToGrid w:val="0"/>
              <w:spacing w:before="108" w:beforeLines="30" w:after="72" w:afterLines="20"/>
              <w:jc w:val="both"/>
              <w:rPr>
                <w:rFonts w:eastAsia="楷体_GB2312"/>
                <w:szCs w:val="20"/>
              </w:rPr>
            </w:pPr>
            <w:r>
              <w:rPr>
                <w:rFonts w:hint="eastAsia" w:eastAsia="楷体_GB2312"/>
                <w:szCs w:val="20"/>
              </w:rPr>
              <w:t>4TX</w:t>
            </w:r>
          </w:p>
        </w:tc>
        <w:tc>
          <w:tcPr>
            <w:tcW w:w="1846" w:type="dxa"/>
          </w:tcPr>
          <w:p>
            <w:pPr>
              <w:snapToGrid w:val="0"/>
              <w:spacing w:before="108" w:beforeLines="30" w:after="72" w:afterLines="20"/>
              <w:jc w:val="both"/>
              <w:rPr>
                <w:rFonts w:eastAsia="宋体"/>
              </w:rPr>
            </w:pPr>
            <w:r>
              <w:rPr>
                <w:rFonts w:hint="eastAsia" w:eastAsia="楷体_GB2312"/>
                <w:szCs w:val="20"/>
              </w:rPr>
              <w:t>Rank 1, TPMI=12, 13, ..., 19</w:t>
            </w:r>
          </w:p>
        </w:tc>
        <w:tc>
          <w:tcPr>
            <w:tcW w:w="6184" w:type="dxa"/>
          </w:tcPr>
          <w:p>
            <w:pPr>
              <w:rPr>
                <w:rFonts w:eastAsia="楷体_GB2312"/>
                <w:position w:val="-66"/>
                <w:sz w:val="28"/>
                <w:szCs w:val="28"/>
              </w:rPr>
            </w:pPr>
            <w:r>
              <w:rPr>
                <w:rFonts w:hint="eastAsia" w:eastAsia="楷体_GB2312"/>
                <w:position w:val="-66"/>
                <w:sz w:val="28"/>
                <w:szCs w:val="28"/>
              </w:rPr>
              <w:object>
                <v:shape id="_x0000_i1029" o:spt="75" type="#_x0000_t75" style="height:57.75pt;width:24.25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2">
                  <o:LockedField>false</o:LockedField>
                </o:OLEObject>
              </w:object>
            </w:r>
            <w:r>
              <w:rPr>
                <w:rFonts w:hint="eastAsia" w:eastAsia="楷体_GB2312"/>
                <w:sz w:val="28"/>
                <w:szCs w:val="28"/>
              </w:rPr>
              <w:t xml:space="preserve">, </w:t>
            </w:r>
            <w:r>
              <w:rPr>
                <w:rFonts w:hint="eastAsia" w:eastAsia="楷体_GB2312"/>
                <w:position w:val="-66"/>
                <w:sz w:val="28"/>
                <w:szCs w:val="28"/>
              </w:rPr>
              <w:object>
                <v:shape id="_x0000_i1030" o:spt="75" type="#_x0000_t75" style="height:57.75pt;width:30.4pt;" o:ole="t" filled="f" o:preferrelative="t" stroked="f" coordsize="21600,21600">
                  <v:path/>
                  <v:fill on="f" focussize="0,0"/>
                  <v:stroke on="f" joinstyle="miter"/>
                  <v:imagedata r:id="rId15" o:title=""/>
                  <o:lock v:ext="edit" aspectratio="t"/>
                  <w10:wrap type="none"/>
                  <w10:anchorlock/>
                </v:shape>
                <o:OLEObject Type="Embed" ProgID="Equation.3" ShapeID="_x0000_i1030" DrawAspect="Content" ObjectID="_1468075730" r:id="rId14">
                  <o:LockedField>false</o:LockedField>
                </o:OLEObject>
              </w:object>
            </w:r>
            <w:r>
              <w:rPr>
                <w:rFonts w:hint="eastAsia" w:eastAsia="楷体_GB2312"/>
                <w:sz w:val="28"/>
                <w:szCs w:val="28"/>
              </w:rPr>
              <w:t xml:space="preserve">, </w:t>
            </w:r>
            <w:r>
              <w:rPr>
                <w:rFonts w:hint="eastAsia" w:eastAsia="楷体_GB2312"/>
                <w:position w:val="-66"/>
                <w:sz w:val="28"/>
                <w:szCs w:val="28"/>
              </w:rPr>
              <w:object>
                <v:shape id="_x0000_i1031" o:spt="75" type="#_x0000_t75" style="height:57.75pt;width:31.95pt;" o:ole="t" filled="f" o:preferrelative="t" stroked="f" coordsize="21600,21600">
                  <v:path/>
                  <v:fill on="f" focussize="0,0"/>
                  <v:stroke on="f" joinstyle="miter"/>
                  <v:imagedata r:id="rId17" o:title=""/>
                  <o:lock v:ext="edit" aspectratio="t"/>
                  <w10:wrap type="none"/>
                  <w10:anchorlock/>
                </v:shape>
                <o:OLEObject Type="Embed" ProgID="Equation.3" ShapeID="_x0000_i1031" DrawAspect="Content" ObjectID="_1468075731" r:id="rId16">
                  <o:LockedField>false</o:LockedField>
                </o:OLEObject>
              </w:object>
            </w:r>
            <w:r>
              <w:rPr>
                <w:rFonts w:hint="eastAsia" w:eastAsia="楷体_GB2312"/>
                <w:sz w:val="28"/>
                <w:szCs w:val="28"/>
              </w:rPr>
              <w:t xml:space="preserve">, </w:t>
            </w:r>
            <w:r>
              <w:rPr>
                <w:rFonts w:hint="eastAsia" w:eastAsia="楷体_GB2312"/>
                <w:position w:val="-66"/>
                <w:sz w:val="28"/>
                <w:szCs w:val="28"/>
              </w:rPr>
              <w:object>
                <v:shape id="_x0000_i1032" o:spt="75" type="#_x0000_t75" style="height:57.75pt;width:37.75pt;" o:ole="t" filled="f" o:preferrelative="t" stroked="f" coordsize="21600,21600">
                  <v:path/>
                  <v:fill on="f" focussize="0,0"/>
                  <v:stroke on="f" joinstyle="miter"/>
                  <v:imagedata r:id="rId19" o:title=""/>
                  <o:lock v:ext="edit" aspectratio="t"/>
                  <w10:wrap type="none"/>
                  <w10:anchorlock/>
                </v:shape>
                <o:OLEObject Type="Embed" ProgID="Equation.3" ShapeID="_x0000_i1032" DrawAspect="Content" ObjectID="_1468075732" r:id="rId18">
                  <o:LockedField>false</o:LockedField>
                </o:OLEObject>
              </w:object>
            </w:r>
            <w:r>
              <w:rPr>
                <w:rFonts w:hint="eastAsia" w:eastAsia="楷体_GB2312"/>
                <w:sz w:val="28"/>
                <w:szCs w:val="28"/>
              </w:rPr>
              <w:t xml:space="preserve">, </w:t>
            </w:r>
            <w:r>
              <w:rPr>
                <w:rFonts w:hint="eastAsia" w:eastAsia="楷体_GB2312"/>
                <w:position w:val="-66"/>
                <w:sz w:val="28"/>
                <w:szCs w:val="28"/>
              </w:rPr>
              <w:object>
                <v:shape id="_x0000_i1033" o:spt="75" type="#_x0000_t75" style="height:57.75pt;width:31.95pt;" o:ole="t" filled="f" o:preferrelative="t" stroked="f" coordsize="21600,21600">
                  <v:path/>
                  <v:fill on="f" focussize="0,0"/>
                  <v:stroke on="f" joinstyle="miter"/>
                  <v:imagedata r:id="rId21" o:title=""/>
                  <o:lock v:ext="edit" aspectratio="t"/>
                  <w10:wrap type="none"/>
                  <w10:anchorlock/>
                </v:shape>
                <o:OLEObject Type="Embed" ProgID="Equation.3" ShapeID="_x0000_i1033" DrawAspect="Content" ObjectID="_1468075733" r:id="rId20">
                  <o:LockedField>false</o:LockedField>
                </o:OLEObject>
              </w:object>
            </w:r>
            <w:r>
              <w:rPr>
                <w:rFonts w:hint="eastAsia" w:eastAsia="楷体_GB2312"/>
                <w:sz w:val="28"/>
                <w:szCs w:val="28"/>
              </w:rPr>
              <w:t xml:space="preserve">, </w:t>
            </w:r>
            <w:r>
              <w:rPr>
                <w:rFonts w:hint="eastAsia" w:eastAsia="楷体_GB2312"/>
                <w:position w:val="-66"/>
                <w:sz w:val="28"/>
                <w:szCs w:val="28"/>
              </w:rPr>
              <w:object>
                <v:shape id="_x0000_i1034" o:spt="75" type="#_x0000_t75" style="height:57.75pt;width:30.4pt;" o:ole="t" filled="f" o:preferrelative="t" stroked="f" coordsize="21600,21600">
                  <v:path/>
                  <v:fill on="f" focussize="0,0"/>
                  <v:stroke on="f" joinstyle="miter"/>
                  <v:imagedata r:id="rId23" o:title=""/>
                  <o:lock v:ext="edit" aspectratio="t"/>
                  <w10:wrap type="none"/>
                  <w10:anchorlock/>
                </v:shape>
                <o:OLEObject Type="Embed" ProgID="Equation.3" ShapeID="_x0000_i1034" DrawAspect="Content" ObjectID="_1468075734" r:id="rId22">
                  <o:LockedField>false</o:LockedField>
                </o:OLEObject>
              </w:object>
            </w:r>
            <w:r>
              <w:rPr>
                <w:rFonts w:hint="eastAsia" w:eastAsia="楷体_GB2312"/>
                <w:sz w:val="28"/>
                <w:szCs w:val="28"/>
              </w:rPr>
              <w:t xml:space="preserve">, </w:t>
            </w:r>
            <w:r>
              <w:rPr>
                <w:rFonts w:hint="eastAsia" w:eastAsia="楷体_GB2312"/>
                <w:position w:val="-66"/>
                <w:sz w:val="28"/>
                <w:szCs w:val="28"/>
              </w:rPr>
              <w:object>
                <v:shape id="_x0000_i1035" o:spt="75" type="#_x0000_t75" style="height:58.15pt;width:28.1pt;" o:ole="t" filled="f" o:preferrelative="t" stroked="f" coordsize="21600,21600">
                  <v:path/>
                  <v:fill on="f" focussize="0,0"/>
                  <v:stroke on="f" joinstyle="miter"/>
                  <v:imagedata r:id="rId25" o:title=""/>
                  <o:lock v:ext="edit" aspectratio="t"/>
                  <w10:wrap type="none"/>
                  <w10:anchorlock/>
                </v:shape>
                <o:OLEObject Type="Embed" ProgID="Equation.3" ShapeID="_x0000_i1035" DrawAspect="Content" ObjectID="_1468075735" r:id="rId24">
                  <o:LockedField>false</o:LockedField>
                </o:OLEObject>
              </w:object>
            </w:r>
            <w:r>
              <w:rPr>
                <w:rFonts w:hint="eastAsia" w:eastAsia="楷体_GB2312"/>
                <w:sz w:val="28"/>
                <w:szCs w:val="28"/>
              </w:rPr>
              <w:t xml:space="preserve">, </w:t>
            </w:r>
            <w:r>
              <w:rPr>
                <w:rFonts w:hint="eastAsia" w:eastAsia="楷体_GB2312"/>
                <w:position w:val="-66"/>
                <w:sz w:val="28"/>
                <w:szCs w:val="28"/>
              </w:rPr>
              <w:object>
                <v:shape id="_x0000_i1036" o:spt="75" type="#_x0000_t75" style="height:57.75pt;width:30.4pt;" o:ole="t" filled="f" o:preferrelative="t" stroked="f" coordsize="21600,21600">
                  <v:path/>
                  <v:fill on="f" focussize="0,0"/>
                  <v:stroke on="f" joinstyle="miter"/>
                  <v:imagedata r:id="rId27" o:title=""/>
                  <o:lock v:ext="edit" aspectratio="t"/>
                  <w10:wrap type="none"/>
                  <w10:anchorlock/>
                </v:shape>
                <o:OLEObject Type="Embed" ProgID="Equation.3" ShapeID="_x0000_i1036" DrawAspect="Content" ObjectID="_1468075736" r:id="rId2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27" w:type="dxa"/>
            <w:gridSpan w:val="3"/>
          </w:tcPr>
          <w:p>
            <w:pPr>
              <w:rPr>
                <w:rFonts w:eastAsia="宋体"/>
                <w:position w:val="-66"/>
                <w:sz w:val="28"/>
                <w:szCs w:val="28"/>
              </w:rPr>
            </w:pPr>
            <w:r>
              <w:rPr>
                <w:rFonts w:hint="eastAsia" w:eastAsia="宋体"/>
              </w:rPr>
              <w:t xml:space="preserve">Note: </w:t>
            </w:r>
            <w:r>
              <w:rPr>
                <w:rFonts w:hint="eastAsia" w:eastAsia="宋体"/>
                <w:position w:val="-6"/>
              </w:rPr>
              <w:object>
                <v:shape id="_x0000_i1037" o:spt="75" type="#_x0000_t75" style="height:10.4pt;width:12.3pt;" o:ole="t" filled="f" o:preferrelative="t" stroked="f" coordsize="21600,21600">
                  <v:path/>
                  <v:fill on="f" focussize="0,0"/>
                  <v:stroke on="f" joinstyle="miter"/>
                  <v:imagedata r:id="rId29" o:title=""/>
                  <o:lock v:ext="edit" aspectratio="t"/>
                  <w10:wrap type="none"/>
                  <w10:anchorlock/>
                </v:shape>
                <o:OLEObject Type="Embed" ProgID="Equation.3" ShapeID="_x0000_i1037" DrawAspect="Content" ObjectID="_1468075737" r:id="rId28">
                  <o:LockedField>false</o:LockedField>
                </o:OLEObject>
              </w:object>
            </w:r>
            <w:r>
              <w:rPr>
                <w:rFonts w:hint="eastAsia" w:eastAsia="宋体"/>
              </w:rPr>
              <w:t xml:space="preserve">, </w:t>
            </w:r>
            <w:r>
              <w:rPr>
                <w:rFonts w:hint="eastAsia" w:eastAsia="楷体_GB2312"/>
                <w:position w:val="-10"/>
                <w:sz w:val="28"/>
                <w:szCs w:val="28"/>
              </w:rPr>
              <w:object>
                <v:shape id="_x0000_i1038" o:spt="75" type="#_x0000_t75" style="height:13.85pt;width:11.15pt;" o:ole="t" filled="f" o:preferrelative="t" stroked="f" coordsize="21600,21600">
                  <v:path/>
                  <v:fill on="f" focussize="0,0"/>
                  <v:stroke on="f" joinstyle="miter"/>
                  <v:imagedata r:id="rId31" o:title=""/>
                  <o:lock v:ext="edit" aspectratio="t"/>
                  <w10:wrap type="none"/>
                  <w10:anchorlock/>
                </v:shape>
                <o:OLEObject Type="Embed" ProgID="Equation.3" ShapeID="_x0000_i1038" DrawAspect="Content" ObjectID="_1468075738" r:id="rId30">
                  <o:LockedField>false</o:LockedField>
                </o:OLEObject>
              </w:object>
            </w:r>
            <w:r>
              <w:rPr>
                <w:rFonts w:hint="eastAsia" w:eastAsia="宋体"/>
              </w:rPr>
              <w:t xml:space="preserve">, </w:t>
            </w:r>
            <w:r>
              <w:rPr>
                <w:rFonts w:hint="eastAsia" w:eastAsia="楷体_GB2312"/>
                <w:position w:val="-10"/>
                <w:sz w:val="28"/>
                <w:szCs w:val="28"/>
              </w:rPr>
              <w:object>
                <v:shape id="_x0000_i1039" o:spt="75" type="#_x0000_t75" style="height:12.7pt;width:10.4pt;" o:ole="t" filled="f" o:preferrelative="t" stroked="f" coordsize="21600,21600">
                  <v:path/>
                  <v:fill on="f" focussize="0,0"/>
                  <v:stroke on="f" joinstyle="miter"/>
                  <v:imagedata r:id="rId33" o:title=""/>
                  <o:lock v:ext="edit" aspectratio="t"/>
                  <w10:wrap type="none"/>
                  <w10:anchorlock/>
                </v:shape>
                <o:OLEObject Type="Embed" ProgID="Equation.3" ShapeID="_x0000_i1039" DrawAspect="Content" ObjectID="_1468075739" r:id="rId32">
                  <o:LockedField>false</o:LockedField>
                </o:OLEObject>
              </w:object>
            </w:r>
            <w:r>
              <w:rPr>
                <w:rFonts w:hint="eastAsia" w:eastAsia="宋体"/>
              </w:rPr>
              <w:t xml:space="preserve"> are complex numbers of module 1, and reflect</w:t>
            </w:r>
            <w:r>
              <w:rPr>
                <w:rFonts w:hint="eastAsia"/>
              </w:rPr>
              <w:t xml:space="preserve"> any phase</w:t>
            </w:r>
            <w:r>
              <w:t xml:space="preserve"> that </w:t>
            </w:r>
            <w:r>
              <w:rPr>
                <w:rFonts w:hint="eastAsia"/>
              </w:rPr>
              <w:t>UE</w:t>
            </w:r>
            <w:r>
              <w:t xml:space="preserve"> may generate</w:t>
            </w:r>
            <w:r>
              <w:rPr>
                <w:rFonts w:hint="eastAsia"/>
              </w:rPr>
              <w:t>.</w:t>
            </w:r>
          </w:p>
        </w:tc>
      </w:tr>
    </w:tbl>
    <w:p>
      <w:pPr>
        <w:overflowPunct w:val="0"/>
        <w:autoSpaceDE w:val="0"/>
        <w:autoSpaceDN w:val="0"/>
        <w:adjustRightInd w:val="0"/>
        <w:snapToGrid w:val="0"/>
        <w:spacing w:before="180" w:beforeLines="50" w:after="120" w:line="300" w:lineRule="auto"/>
        <w:jc w:val="both"/>
        <w:textAlignment w:val="baseline"/>
        <w:rPr>
          <w:rFonts w:eastAsia="宋体"/>
          <w:b/>
          <w:bCs/>
          <w:i/>
          <w:iCs/>
        </w:rPr>
      </w:pPr>
      <w:r>
        <w:rPr>
          <w:sz w:val="21"/>
        </w:rPr>
        <w:t>Alternatively, it can be further considered to specify</w:t>
      </w:r>
      <w:r>
        <w:rPr>
          <w:rFonts w:hint="eastAsia"/>
          <w:sz w:val="21"/>
        </w:rPr>
        <w:t xml:space="preserve"> requirements for non-coherent T</w:t>
      </w:r>
      <w:r>
        <w:rPr>
          <w:sz w:val="21"/>
        </w:rPr>
        <w:t xml:space="preserve">x ports for </w:t>
      </w:r>
      <w:r>
        <w:rPr>
          <w:rFonts w:hint="eastAsia"/>
          <w:sz w:val="21"/>
        </w:rPr>
        <w:t>UE in Mode1 in RAN4.</w:t>
      </w:r>
      <w:r>
        <w:rPr>
          <w:sz w:val="21"/>
        </w:rPr>
        <w:t xml:space="preserve"> In Rel-15, RAN4 only specifies requirements on UL MIMO coherence </w:t>
      </w:r>
      <w:r>
        <w:rPr>
          <w:rFonts w:hint="eastAsia"/>
          <w:sz w:val="21"/>
        </w:rPr>
        <w:t>as seen in Appendix, but no description on requirements for UE with non-coherent ability</w:t>
      </w:r>
      <w:r>
        <w:rPr>
          <w:sz w:val="21"/>
        </w:rPr>
        <w:t xml:space="preserve"> due to the fact that combining non-coherent ports into one layer is not allowed</w:t>
      </w:r>
      <w:r>
        <w:rPr>
          <w:rFonts w:hint="eastAsia"/>
          <w:sz w:val="21"/>
        </w:rPr>
        <w:t>.</w:t>
      </w:r>
      <w:r>
        <w:rPr>
          <w:sz w:val="21"/>
        </w:rPr>
        <w:t xml:space="preserve"> Hence if RAN1 may conclude to deliver this issue to RAN4, an LS to inform them the relative phase issue and ask them to take it into account is suggested. </w:t>
      </w:r>
    </w:p>
    <w:p>
      <w:pPr>
        <w:overflowPunct w:val="0"/>
        <w:autoSpaceDE w:val="0"/>
        <w:autoSpaceDN w:val="0"/>
        <w:adjustRightInd w:val="0"/>
        <w:snapToGrid w:val="0"/>
        <w:spacing w:before="180" w:beforeLines="50" w:after="120" w:line="300" w:lineRule="auto"/>
        <w:jc w:val="both"/>
        <w:textAlignment w:val="baseline"/>
        <w:rPr>
          <w:rFonts w:eastAsia="宋体"/>
          <w:i/>
          <w:iCs/>
        </w:rPr>
      </w:pPr>
      <w:r>
        <w:rPr>
          <w:rFonts w:hint="eastAsia" w:eastAsia="宋体"/>
          <w:b/>
          <w:bCs/>
          <w:i/>
          <w:iCs/>
        </w:rPr>
        <w:t>Proposal 2:</w:t>
      </w:r>
      <w:r>
        <w:rPr>
          <w:rFonts w:hint="eastAsia" w:eastAsia="宋体"/>
          <w:i/>
          <w:iCs/>
        </w:rPr>
        <w:t xml:space="preserve"> To reflect the random</w:t>
      </w:r>
      <w:r>
        <w:rPr>
          <w:rFonts w:eastAsia="宋体"/>
          <w:i/>
          <w:iCs/>
        </w:rPr>
        <w:t>/uncontrolled</w:t>
      </w:r>
      <w:r>
        <w:rPr>
          <w:rFonts w:hint="eastAsia" w:eastAsia="宋体"/>
          <w:i/>
          <w:iCs/>
        </w:rPr>
        <w:t xml:space="preserve"> </w:t>
      </w:r>
      <w:r>
        <w:rPr>
          <w:rFonts w:eastAsia="宋体"/>
          <w:i/>
          <w:iCs/>
        </w:rPr>
        <w:t xml:space="preserve">relative </w:t>
      </w:r>
      <w:r>
        <w:rPr>
          <w:rFonts w:hint="eastAsia" w:eastAsia="宋体"/>
          <w:i/>
          <w:iCs/>
        </w:rPr>
        <w:t>phase</w:t>
      </w:r>
      <w:r>
        <w:rPr>
          <w:rFonts w:eastAsia="宋体"/>
          <w:i/>
          <w:iCs/>
        </w:rPr>
        <w:t>(s)</w:t>
      </w:r>
      <w:r>
        <w:rPr>
          <w:rFonts w:hint="eastAsia" w:eastAsia="宋体"/>
          <w:i/>
          <w:iCs/>
        </w:rPr>
        <w:t xml:space="preserve"> between </w:t>
      </w:r>
      <w:r>
        <w:rPr>
          <w:rFonts w:hint="eastAsia" w:eastAsia="宋体"/>
          <w:i/>
          <w:iCs/>
          <w:szCs w:val="20"/>
        </w:rPr>
        <w:t xml:space="preserve">TX ports for non-coherent and partial-coherent UE, </w:t>
      </w:r>
      <w:r>
        <w:rPr>
          <w:rFonts w:hint="eastAsia" w:eastAsia="宋体"/>
          <w:i/>
          <w:iCs/>
        </w:rPr>
        <w:t>downselect one from the following options:</w:t>
      </w:r>
    </w:p>
    <w:p>
      <w:pPr>
        <w:numPr>
          <w:ilvl w:val="0"/>
          <w:numId w:val="5"/>
        </w:numPr>
        <w:overflowPunct w:val="0"/>
        <w:autoSpaceDE w:val="0"/>
        <w:autoSpaceDN w:val="0"/>
        <w:adjustRightInd w:val="0"/>
        <w:snapToGrid w:val="0"/>
        <w:spacing w:before="180" w:beforeLines="50" w:after="120" w:line="300" w:lineRule="auto"/>
        <w:ind w:hanging="357"/>
        <w:jc w:val="both"/>
        <w:textAlignment w:val="baseline"/>
        <w:rPr>
          <w:rFonts w:eastAsia="宋体"/>
          <w:i/>
          <w:iCs/>
          <w:szCs w:val="20"/>
        </w:rPr>
      </w:pPr>
      <w:r>
        <w:rPr>
          <w:rFonts w:hint="eastAsia" w:eastAsia="宋体"/>
          <w:i/>
          <w:iCs/>
          <w:szCs w:val="20"/>
        </w:rPr>
        <w:t xml:space="preserve">Option 1: Specify </w:t>
      </w:r>
      <w:r>
        <w:rPr>
          <w:rFonts w:eastAsia="宋体"/>
          <w:i/>
          <w:iCs/>
          <w:szCs w:val="20"/>
        </w:rPr>
        <w:t xml:space="preserve">the </w:t>
      </w:r>
      <w:r>
        <w:rPr>
          <w:rFonts w:hint="eastAsia" w:eastAsia="宋体"/>
          <w:i/>
          <w:iCs/>
          <w:szCs w:val="20"/>
        </w:rPr>
        <w:t>precoding matrices for new TPMI(s) as shown i</w:t>
      </w:r>
      <w:bookmarkStart w:id="5" w:name="_GoBack"/>
      <w:bookmarkEnd w:id="5"/>
      <w:r>
        <w:rPr>
          <w:rFonts w:hint="eastAsia" w:eastAsia="宋体"/>
          <w:i/>
          <w:iCs/>
          <w:szCs w:val="20"/>
        </w:rPr>
        <w:t xml:space="preserve">n </w:t>
      </w:r>
      <w:r>
        <w:rPr>
          <w:rFonts w:eastAsia="宋体"/>
          <w:i/>
          <w:iCs/>
          <w:szCs w:val="20"/>
        </w:rPr>
        <w:t>T</w:t>
      </w:r>
      <w:r>
        <w:rPr>
          <w:rFonts w:hint="eastAsia" w:eastAsia="宋体"/>
          <w:i/>
          <w:iCs/>
          <w:szCs w:val="20"/>
        </w:rPr>
        <w:t>able 1</w:t>
      </w:r>
      <w:r>
        <w:rPr>
          <w:rFonts w:eastAsia="宋体"/>
          <w:i/>
          <w:iCs/>
          <w:szCs w:val="20"/>
        </w:rPr>
        <w:t xml:space="preserve"> in RAN1</w:t>
      </w:r>
      <w:r>
        <w:rPr>
          <w:rFonts w:hint="eastAsia" w:eastAsia="宋体"/>
          <w:i/>
          <w:iCs/>
          <w:szCs w:val="20"/>
        </w:rPr>
        <w:t>.</w:t>
      </w:r>
    </w:p>
    <w:p>
      <w:pPr>
        <w:numPr>
          <w:ilvl w:val="0"/>
          <w:numId w:val="5"/>
        </w:numPr>
        <w:overflowPunct w:val="0"/>
        <w:autoSpaceDE w:val="0"/>
        <w:autoSpaceDN w:val="0"/>
        <w:adjustRightInd w:val="0"/>
        <w:snapToGrid w:val="0"/>
        <w:spacing w:before="180" w:beforeLines="50" w:after="120" w:line="300" w:lineRule="auto"/>
        <w:ind w:hanging="357"/>
        <w:jc w:val="both"/>
        <w:textAlignment w:val="baseline"/>
        <w:rPr>
          <w:rFonts w:eastAsia="宋体"/>
          <w:i/>
          <w:iCs/>
          <w:szCs w:val="20"/>
        </w:rPr>
      </w:pPr>
      <w:r>
        <w:rPr>
          <w:rFonts w:hint="eastAsia" w:eastAsia="宋体"/>
          <w:i/>
          <w:iCs/>
          <w:szCs w:val="20"/>
        </w:rPr>
        <w:t>Option 2: Specify the</w:t>
      </w:r>
      <w:r>
        <w:rPr>
          <w:rFonts w:eastAsia="宋体"/>
          <w:i/>
          <w:iCs/>
          <w:szCs w:val="20"/>
        </w:rPr>
        <w:t xml:space="preserve"> requirement of relative</w:t>
      </w:r>
      <w:r>
        <w:rPr>
          <w:rFonts w:hint="eastAsia" w:eastAsia="宋体"/>
          <w:i/>
          <w:iCs/>
          <w:szCs w:val="20"/>
        </w:rPr>
        <w:t xml:space="preserve"> phase</w:t>
      </w:r>
      <w:r>
        <w:rPr>
          <w:rFonts w:eastAsia="宋体"/>
          <w:i/>
          <w:iCs/>
          <w:szCs w:val="20"/>
        </w:rPr>
        <w:t>(s)</w:t>
      </w:r>
      <w:r>
        <w:rPr>
          <w:rFonts w:hint="eastAsia" w:eastAsia="宋体"/>
          <w:i/>
          <w:iCs/>
          <w:szCs w:val="20"/>
        </w:rPr>
        <w:t xml:space="preserve"> between</w:t>
      </w:r>
      <w:r>
        <w:rPr>
          <w:rFonts w:eastAsia="宋体"/>
          <w:i/>
          <w:iCs/>
          <w:szCs w:val="20"/>
        </w:rPr>
        <w:t xml:space="preserve"> non-coherent</w:t>
      </w:r>
      <w:r>
        <w:rPr>
          <w:rFonts w:hint="eastAsia" w:eastAsia="宋体"/>
          <w:i/>
          <w:iCs/>
          <w:szCs w:val="20"/>
        </w:rPr>
        <w:t xml:space="preserve"> TX ports </w:t>
      </w:r>
      <w:r>
        <w:rPr>
          <w:rFonts w:eastAsia="宋体"/>
          <w:i/>
          <w:iCs/>
          <w:szCs w:val="20"/>
        </w:rPr>
        <w:t>in RAN4</w:t>
      </w:r>
      <w:r>
        <w:rPr>
          <w:rFonts w:hint="eastAsia" w:eastAsia="宋体"/>
          <w:i/>
          <w:iCs/>
          <w:szCs w:val="20"/>
        </w:rPr>
        <w:t>.</w:t>
      </w:r>
      <w:r>
        <w:rPr>
          <w:rFonts w:eastAsia="宋体"/>
          <w:i/>
          <w:iCs/>
          <w:szCs w:val="20"/>
        </w:rPr>
        <w:t xml:space="preserve"> Send an LS to RAN4 on this.</w:t>
      </w:r>
    </w:p>
    <w:p>
      <w:pPr>
        <w:pStyle w:val="3"/>
        <w:snapToGrid w:val="0"/>
        <w:spacing w:before="180" w:beforeLines="50" w:beforeAutospacing="0" w:after="180" w:afterLines="50" w:afterAutospacing="0" w:line="240" w:lineRule="auto"/>
        <w:ind w:left="578" w:hanging="578"/>
        <w:rPr>
          <w:lang w:val="en-US"/>
        </w:rPr>
      </w:pPr>
      <w:r>
        <w:rPr>
          <w:lang w:val="en-US"/>
        </w:rPr>
        <w:t>Remaining issues</w:t>
      </w:r>
      <w:r>
        <w:rPr>
          <w:rFonts w:hint="eastAsia"/>
          <w:lang w:val="en-US"/>
        </w:rPr>
        <w:t xml:space="preserve"> on </w:t>
      </w:r>
      <w:r>
        <w:rPr>
          <w:lang w:val="en-US"/>
        </w:rPr>
        <w:t>M</w:t>
      </w:r>
      <w:r>
        <w:rPr>
          <w:rFonts w:hint="eastAsia"/>
          <w:lang w:val="en-US"/>
        </w:rPr>
        <w:t>ode 2</w:t>
      </w:r>
    </w:p>
    <w:p>
      <w:pPr>
        <w:overflowPunct w:val="0"/>
        <w:autoSpaceDE w:val="0"/>
        <w:autoSpaceDN w:val="0"/>
        <w:adjustRightInd w:val="0"/>
        <w:snapToGrid w:val="0"/>
        <w:spacing w:before="180" w:beforeLines="50" w:after="120" w:line="300" w:lineRule="auto"/>
        <w:jc w:val="both"/>
        <w:textAlignment w:val="baseline"/>
        <w:rPr>
          <w:rFonts w:eastAsia="微软雅黑"/>
          <w:szCs w:val="20"/>
        </w:rPr>
      </w:pPr>
      <w:r>
        <w:rPr>
          <w:rFonts w:hint="eastAsia" w:eastAsia="微软雅黑"/>
          <w:szCs w:val="20"/>
        </w:rPr>
        <w:t>For</w:t>
      </w:r>
      <w:r>
        <w:rPr>
          <w:rFonts w:eastAsia="微软雅黑"/>
          <w:szCs w:val="20"/>
        </w:rPr>
        <w:t xml:space="preserve"> Mode 2,</w:t>
      </w:r>
      <w:r>
        <w:rPr>
          <w:rFonts w:hint="eastAsia" w:eastAsia="微软雅黑"/>
          <w:szCs w:val="20"/>
        </w:rPr>
        <w:t xml:space="preserve"> t</w:t>
      </w:r>
      <w:r>
        <w:rPr>
          <w:rFonts w:eastAsia="微软雅黑"/>
          <w:szCs w:val="20"/>
        </w:rPr>
        <w:t>he UE can be configured with one SRS resource or multiple SRS resources with same or different numbers of SRS ports</w:t>
      </w:r>
      <w:r>
        <w:rPr>
          <w:rFonts w:hint="eastAsia" w:eastAsia="微软雅黑"/>
          <w:szCs w:val="20"/>
        </w:rPr>
        <w:t xml:space="preserve"> within a SRS resource set which usage is set to </w:t>
      </w:r>
      <w:r>
        <w:rPr>
          <w:rFonts w:eastAsia="微软雅黑"/>
          <w:szCs w:val="20"/>
        </w:rPr>
        <w:t>‘</w:t>
      </w:r>
      <w:r>
        <w:rPr>
          <w:rFonts w:hint="eastAsia" w:eastAsia="微软雅黑"/>
          <w:szCs w:val="20"/>
        </w:rPr>
        <w:t>codebook</w:t>
      </w:r>
      <w:r>
        <w:rPr>
          <w:rFonts w:eastAsia="微软雅黑"/>
          <w:szCs w:val="20"/>
        </w:rPr>
        <w:t xml:space="preserve">’. </w:t>
      </w:r>
      <w:r>
        <w:rPr>
          <w:rFonts w:hint="eastAsia" w:eastAsia="微软雅黑"/>
          <w:szCs w:val="20"/>
        </w:rPr>
        <w:t xml:space="preserve">It does not need </w:t>
      </w:r>
      <w:r>
        <w:rPr>
          <w:rFonts w:eastAsia="微软雅黑"/>
          <w:szCs w:val="20"/>
        </w:rPr>
        <w:t xml:space="preserve">further </w:t>
      </w:r>
      <w:r>
        <w:rPr>
          <w:rFonts w:hint="eastAsia" w:eastAsia="微软雅黑"/>
          <w:szCs w:val="20"/>
        </w:rPr>
        <w:t xml:space="preserve">codebook extension, but needs power capability report per TPMI or TPMI group to support </w:t>
      </w:r>
      <w:r>
        <w:rPr>
          <w:rFonts w:eastAsia="微软雅黑"/>
          <w:szCs w:val="20"/>
        </w:rPr>
        <w:t xml:space="preserve">higher power scaling factor(s) compared to Rel-15. </w:t>
      </w:r>
    </w:p>
    <w:p>
      <w:pPr>
        <w:snapToGrid w:val="0"/>
        <w:spacing w:before="108" w:beforeLines="30" w:after="72" w:afterLines="20"/>
        <w:jc w:val="both"/>
        <w:rPr>
          <w:rFonts w:eastAsia="宋体"/>
        </w:rPr>
      </w:pPr>
      <w:r>
        <w:rPr>
          <w:rFonts w:hint="eastAsia" w:eastAsia="宋体"/>
        </w:rPr>
        <w:t xml:space="preserve">The following </w:t>
      </w:r>
      <w:r>
        <w:rPr>
          <w:rFonts w:eastAsia="宋体"/>
        </w:rPr>
        <w:t xml:space="preserve">remaining issues </w:t>
      </w:r>
      <w:r>
        <w:rPr>
          <w:rFonts w:hint="eastAsia" w:eastAsia="宋体"/>
        </w:rPr>
        <w:t xml:space="preserve">for mode 2 should be </w:t>
      </w:r>
      <w:r>
        <w:rPr>
          <w:rFonts w:eastAsia="宋体"/>
        </w:rPr>
        <w:t>handled.</w:t>
      </w:r>
    </w:p>
    <w:p>
      <w:pPr>
        <w:numPr>
          <w:ilvl w:val="0"/>
          <w:numId w:val="5"/>
        </w:numPr>
        <w:overflowPunct w:val="0"/>
        <w:autoSpaceDE w:val="0"/>
        <w:autoSpaceDN w:val="0"/>
        <w:adjustRightInd w:val="0"/>
        <w:snapToGrid w:val="0"/>
        <w:spacing w:before="180" w:beforeLines="50" w:after="120" w:line="300" w:lineRule="auto"/>
        <w:ind w:hanging="357"/>
        <w:jc w:val="both"/>
        <w:textAlignment w:val="baseline"/>
        <w:rPr>
          <w:rFonts w:eastAsia="宋体"/>
          <w:bCs/>
          <w:szCs w:val="20"/>
        </w:rPr>
      </w:pPr>
      <w:r>
        <w:rPr>
          <w:rFonts w:eastAsia="宋体"/>
          <w:bCs/>
          <w:szCs w:val="20"/>
        </w:rPr>
        <w:t>H</w:t>
      </w:r>
      <w:r>
        <w:rPr>
          <w:rFonts w:hint="eastAsia" w:eastAsia="宋体"/>
          <w:bCs/>
          <w:szCs w:val="20"/>
        </w:rPr>
        <w:t>ow to deliver power capability per TPMI from UE to gNB</w:t>
      </w:r>
    </w:p>
    <w:p>
      <w:pPr>
        <w:numPr>
          <w:ilvl w:val="0"/>
          <w:numId w:val="5"/>
        </w:numPr>
        <w:overflowPunct w:val="0"/>
        <w:autoSpaceDE w:val="0"/>
        <w:autoSpaceDN w:val="0"/>
        <w:adjustRightInd w:val="0"/>
        <w:snapToGrid w:val="0"/>
        <w:spacing w:before="180" w:beforeLines="50" w:after="120" w:line="300" w:lineRule="auto"/>
        <w:ind w:hanging="357"/>
        <w:jc w:val="both"/>
        <w:textAlignment w:val="baseline"/>
        <w:rPr>
          <w:rFonts w:eastAsia="宋体"/>
          <w:bCs/>
          <w:szCs w:val="20"/>
        </w:rPr>
      </w:pPr>
      <w:r>
        <w:rPr>
          <w:rFonts w:eastAsia="宋体"/>
          <w:bCs/>
          <w:szCs w:val="20"/>
        </w:rPr>
        <w:t>H</w:t>
      </w:r>
      <w:r>
        <w:rPr>
          <w:rFonts w:hint="eastAsia" w:eastAsia="宋体"/>
          <w:bCs/>
          <w:szCs w:val="20"/>
        </w:rPr>
        <w:t>ow to indicate SRI</w:t>
      </w:r>
      <w:r>
        <w:rPr>
          <w:rFonts w:eastAsia="宋体"/>
          <w:bCs/>
          <w:szCs w:val="20"/>
        </w:rPr>
        <w:t>,</w:t>
      </w:r>
      <w:r>
        <w:rPr>
          <w:rFonts w:hint="eastAsia" w:eastAsia="宋体"/>
          <w:bCs/>
          <w:szCs w:val="20"/>
        </w:rPr>
        <w:t xml:space="preserve"> TPMI and number of layers from gNB to UE</w:t>
      </w:r>
    </w:p>
    <w:p>
      <w:pPr>
        <w:pStyle w:val="4"/>
        <w:numPr>
          <w:ilvl w:val="2"/>
          <w:numId w:val="1"/>
        </w:numPr>
        <w:snapToGrid w:val="0"/>
        <w:spacing w:before="180" w:beforeLines="50" w:beforeAutospacing="0" w:after="180" w:afterLines="50" w:afterAutospacing="0" w:line="240" w:lineRule="auto"/>
        <w:rPr>
          <w:sz w:val="22"/>
          <w:szCs w:val="22"/>
          <w:lang w:val="en-US"/>
        </w:rPr>
      </w:pPr>
      <w:r>
        <w:rPr>
          <w:sz w:val="22"/>
          <w:szCs w:val="22"/>
          <w:lang w:val="en-US"/>
        </w:rPr>
        <w:t xml:space="preserve"> S</w:t>
      </w:r>
      <w:r>
        <w:rPr>
          <w:rFonts w:hint="eastAsia"/>
          <w:sz w:val="22"/>
          <w:szCs w:val="22"/>
          <w:lang w:val="en-US"/>
        </w:rPr>
        <w:t>cheme to deliver power capability per TPMI from UE to gNB</w:t>
      </w:r>
    </w:p>
    <w:p>
      <w:pPr>
        <w:overflowPunct w:val="0"/>
        <w:autoSpaceDE w:val="0"/>
        <w:autoSpaceDN w:val="0"/>
        <w:adjustRightInd w:val="0"/>
        <w:snapToGrid w:val="0"/>
        <w:spacing w:before="180" w:beforeLines="50" w:after="120" w:line="300" w:lineRule="auto"/>
        <w:jc w:val="both"/>
        <w:textAlignment w:val="baseline"/>
        <w:rPr>
          <w:rFonts w:eastAsia="微软雅黑"/>
          <w:szCs w:val="20"/>
        </w:rPr>
      </w:pPr>
      <w:r>
        <w:rPr>
          <w:rFonts w:hint="eastAsia" w:eastAsia="微软雅黑"/>
          <w:szCs w:val="20"/>
        </w:rPr>
        <w:t>For non-coherent 2 port UE, it has been agreed to deliver the power information for TPMI 0 and 1. The remaining issue is the</w:t>
      </w:r>
      <w:r>
        <w:rPr>
          <w:rFonts w:eastAsia="微软雅黑"/>
          <w:szCs w:val="20"/>
        </w:rPr>
        <w:t xml:space="preserve"> </w:t>
      </w:r>
      <w:r>
        <w:rPr>
          <w:rFonts w:hint="eastAsia" w:eastAsia="微软雅黑"/>
          <w:szCs w:val="20"/>
        </w:rPr>
        <w:t>d</w:t>
      </w:r>
      <w:r>
        <w:rPr>
          <w:rFonts w:eastAsia="微软雅黑"/>
          <w:szCs w:val="20"/>
        </w:rPr>
        <w:t>etails on UE capability signalling</w:t>
      </w:r>
      <w:r>
        <w:rPr>
          <w:rFonts w:hint="eastAsia" w:eastAsia="微软雅黑"/>
          <w:szCs w:val="20"/>
        </w:rPr>
        <w:t xml:space="preserve"> which should be designed in a uniform way as for non-coherent 4 port UE.</w:t>
      </w:r>
    </w:p>
    <w:p>
      <w:pPr>
        <w:snapToGrid w:val="0"/>
        <w:spacing w:before="108" w:beforeLines="30" w:after="72" w:afterLines="20"/>
        <w:jc w:val="both"/>
        <w:rPr>
          <w:rFonts w:eastAsia="宋体"/>
        </w:rPr>
      </w:pPr>
      <w:r>
        <w:rPr>
          <w:rFonts w:hint="eastAsia" w:eastAsia="宋体"/>
        </w:rPr>
        <w:t xml:space="preserve">For 4 port UE, as shown in </w:t>
      </w:r>
      <w:r>
        <w:rPr>
          <w:rFonts w:eastAsia="宋体"/>
        </w:rPr>
        <w:t>T</w:t>
      </w:r>
      <w:r>
        <w:rPr>
          <w:rFonts w:hint="eastAsia" w:eastAsia="宋体"/>
        </w:rPr>
        <w:t xml:space="preserve">able 2, </w:t>
      </w:r>
      <w:r>
        <w:rPr>
          <w:rFonts w:eastAsia="宋体"/>
        </w:rPr>
        <w:t>we have</w:t>
      </w:r>
    </w:p>
    <w:p>
      <w:pPr>
        <w:numPr>
          <w:ilvl w:val="0"/>
          <w:numId w:val="5"/>
        </w:numPr>
        <w:overflowPunct w:val="0"/>
        <w:autoSpaceDE w:val="0"/>
        <w:autoSpaceDN w:val="0"/>
        <w:adjustRightInd w:val="0"/>
        <w:snapToGrid w:val="0"/>
        <w:spacing w:before="180" w:beforeLines="50" w:after="120" w:line="300" w:lineRule="auto"/>
        <w:ind w:hanging="357"/>
        <w:jc w:val="both"/>
        <w:textAlignment w:val="baseline"/>
        <w:rPr>
          <w:rFonts w:eastAsia="宋体"/>
          <w:szCs w:val="20"/>
        </w:rPr>
      </w:pPr>
      <w:r>
        <w:rPr>
          <w:rFonts w:hint="eastAsia" w:eastAsia="宋体"/>
          <w:szCs w:val="20"/>
        </w:rPr>
        <w:t>For non-coherent UE, there are 11 TPMIs which need</w:t>
      </w:r>
      <w:r>
        <w:rPr>
          <w:rFonts w:eastAsia="宋体"/>
          <w:szCs w:val="20"/>
        </w:rPr>
        <w:t xml:space="preserve"> to be determined through</w:t>
      </w:r>
      <w:r>
        <w:rPr>
          <w:rFonts w:hint="eastAsia" w:eastAsia="宋体"/>
          <w:szCs w:val="20"/>
        </w:rPr>
        <w:t xml:space="preserve"> power capability report.</w:t>
      </w:r>
    </w:p>
    <w:p>
      <w:pPr>
        <w:numPr>
          <w:ilvl w:val="0"/>
          <w:numId w:val="5"/>
        </w:numPr>
        <w:overflowPunct w:val="0"/>
        <w:autoSpaceDE w:val="0"/>
        <w:autoSpaceDN w:val="0"/>
        <w:adjustRightInd w:val="0"/>
        <w:snapToGrid w:val="0"/>
        <w:spacing w:before="180" w:beforeLines="50" w:after="120" w:line="300" w:lineRule="auto"/>
        <w:ind w:hanging="357"/>
        <w:jc w:val="both"/>
        <w:textAlignment w:val="baseline"/>
        <w:rPr>
          <w:rFonts w:eastAsia="宋体"/>
          <w:szCs w:val="20"/>
        </w:rPr>
      </w:pPr>
      <w:r>
        <w:rPr>
          <w:rFonts w:hint="eastAsia" w:eastAsia="宋体"/>
          <w:szCs w:val="20"/>
        </w:rPr>
        <w:t xml:space="preserve">For partial-coherent UE, there are 13 TPMIs or TPMI groups which need </w:t>
      </w:r>
      <w:r>
        <w:rPr>
          <w:rFonts w:eastAsia="宋体"/>
          <w:szCs w:val="20"/>
        </w:rPr>
        <w:t xml:space="preserve">to be determined through </w:t>
      </w:r>
      <w:r>
        <w:rPr>
          <w:rFonts w:hint="eastAsia" w:eastAsia="宋体"/>
          <w:szCs w:val="20"/>
        </w:rPr>
        <w:t xml:space="preserve">power capability report. </w:t>
      </w:r>
    </w:p>
    <w:p>
      <w:pPr>
        <w:pStyle w:val="33"/>
        <w:overflowPunct w:val="0"/>
        <w:autoSpaceDE w:val="0"/>
        <w:autoSpaceDN w:val="0"/>
        <w:adjustRightInd w:val="0"/>
        <w:textAlignment w:val="baseline"/>
        <w:rPr>
          <w:sz w:val="21"/>
          <w:lang w:eastAsia="zh-CN"/>
        </w:rPr>
      </w:pPr>
      <w:r>
        <w:rPr>
          <w:rFonts w:hint="eastAsia"/>
          <w:sz w:val="21"/>
          <w:lang w:eastAsia="zh-CN"/>
        </w:rPr>
        <w:t xml:space="preserve">Table 2. TPMI precoders </w:t>
      </w:r>
      <w:r>
        <w:rPr>
          <w:rFonts w:hint="eastAsia" w:eastAsia="宋体"/>
          <w:lang w:eastAsia="zh-CN"/>
        </w:rPr>
        <w:t xml:space="preserve">which need </w:t>
      </w:r>
      <w:r>
        <w:rPr>
          <w:rFonts w:hint="eastAsia" w:eastAsia="宋体"/>
        </w:rPr>
        <w:t xml:space="preserve">power capability </w:t>
      </w:r>
      <w:r>
        <w:rPr>
          <w:rFonts w:eastAsia="宋体"/>
        </w:rPr>
        <w:t>report</w:t>
      </w:r>
      <w:r>
        <w:rPr>
          <w:rFonts w:eastAsia="宋体"/>
          <w:lang w:eastAsia="zh-CN"/>
        </w:rPr>
        <w:t xml:space="preserve"> </w:t>
      </w:r>
      <w:r>
        <w:rPr>
          <w:sz w:val="21"/>
          <w:lang w:eastAsia="zh-CN"/>
        </w:rPr>
        <w:t>for</w:t>
      </w:r>
      <w:r>
        <w:rPr>
          <w:rFonts w:hint="eastAsia"/>
          <w:sz w:val="21"/>
          <w:lang w:eastAsia="zh-CN"/>
        </w:rPr>
        <w:t xml:space="preserve"> non-coherent/partial-coherent 4 port UE</w:t>
      </w:r>
    </w:p>
    <w:tbl>
      <w:tblPr>
        <w:tblStyle w:val="28"/>
        <w:tblW w:w="95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7"/>
        <w:gridCol w:w="3720"/>
        <w:gridCol w:w="2860"/>
        <w:gridCol w:w="1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jc w:val="center"/>
        </w:trPr>
        <w:tc>
          <w:tcPr>
            <w:tcW w:w="1407" w:type="dxa"/>
            <w:shd w:val="clear" w:color="auto" w:fill="D7D7D7" w:themeFill="background1" w:themeFillShade="D8"/>
            <w:vAlign w:val="center"/>
          </w:tcPr>
          <w:p>
            <w:pPr>
              <w:widowControl w:val="0"/>
              <w:spacing w:after="40"/>
              <w:jc w:val="center"/>
            </w:pPr>
          </w:p>
        </w:tc>
        <w:tc>
          <w:tcPr>
            <w:tcW w:w="3720" w:type="dxa"/>
            <w:shd w:val="clear" w:color="auto" w:fill="D7D7D7" w:themeFill="background1" w:themeFillShade="D8"/>
            <w:vAlign w:val="center"/>
          </w:tcPr>
          <w:p>
            <w:pPr>
              <w:widowControl w:val="0"/>
              <w:spacing w:after="40"/>
              <w:jc w:val="center"/>
            </w:pPr>
            <w:r>
              <w:t>Rank 1</w:t>
            </w:r>
          </w:p>
        </w:tc>
        <w:tc>
          <w:tcPr>
            <w:tcW w:w="2860" w:type="dxa"/>
            <w:shd w:val="clear" w:color="auto" w:fill="D7D7D7" w:themeFill="background1" w:themeFillShade="D8"/>
            <w:vAlign w:val="center"/>
          </w:tcPr>
          <w:p>
            <w:pPr>
              <w:widowControl w:val="0"/>
              <w:spacing w:after="40"/>
              <w:jc w:val="center"/>
            </w:pPr>
            <w:r>
              <w:t>Rank 2</w:t>
            </w:r>
          </w:p>
        </w:tc>
        <w:tc>
          <w:tcPr>
            <w:tcW w:w="1577" w:type="dxa"/>
            <w:shd w:val="clear" w:color="auto" w:fill="D7D7D7" w:themeFill="background1" w:themeFillShade="D8"/>
            <w:vAlign w:val="center"/>
          </w:tcPr>
          <w:p>
            <w:pPr>
              <w:widowControl w:val="0"/>
              <w:spacing w:after="40"/>
              <w:jc w:val="center"/>
            </w:pPr>
            <w:r>
              <w:t>Rank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jc w:val="center"/>
        </w:trPr>
        <w:tc>
          <w:tcPr>
            <w:tcW w:w="1407" w:type="dxa"/>
            <w:vAlign w:val="center"/>
          </w:tcPr>
          <w:p>
            <w:pPr>
              <w:widowControl w:val="0"/>
              <w:spacing w:after="40"/>
              <w:jc w:val="center"/>
            </w:pPr>
            <w:r>
              <w:rPr>
                <w:rFonts w:hint="eastAsia"/>
              </w:rPr>
              <w:t>N</w:t>
            </w:r>
            <w:r>
              <w:t>on-coherent UE</w:t>
            </w:r>
          </w:p>
        </w:tc>
        <w:tc>
          <w:tcPr>
            <w:tcW w:w="3720" w:type="dxa"/>
          </w:tcPr>
          <w:p>
            <w:pPr>
              <w:widowControl w:val="0"/>
              <w:spacing w:after="40"/>
              <w:jc w:val="center"/>
            </w:pPr>
            <w:r>
              <w:rPr>
                <w:rFonts w:hint="eastAsia"/>
              </w:rPr>
              <w:t>TPMI: 0, 1, 2, 3</w:t>
            </w:r>
          </w:p>
          <w:p>
            <w:pPr>
              <w:widowControl w:val="0"/>
              <w:spacing w:after="40"/>
              <w:jc w:val="center"/>
            </w:pPr>
            <w:r>
              <w:rPr>
                <w:position w:val="-66"/>
              </w:rPr>
              <w:object>
                <v:shape id="_x0000_i1040" o:spt="75" type="#_x0000_t75" style="height:58.15pt;width:23.1pt;" o:ole="t" filled="f" o:preferrelative="t" stroked="f" coordsize="21600,21600">
                  <v:path/>
                  <v:fill on="f" focussize="0,0"/>
                  <v:stroke on="f" joinstyle="miter"/>
                  <v:imagedata r:id="rId35" o:title=""/>
                  <o:lock v:ext="edit" aspectratio="t"/>
                  <w10:wrap type="none"/>
                  <w10:anchorlock/>
                </v:shape>
                <o:OLEObject Type="Embed" ProgID="Equation.3" ShapeID="_x0000_i1040" DrawAspect="Content" ObjectID="_1468075740" r:id="rId34">
                  <o:LockedField>false</o:LockedField>
                </o:OLEObject>
              </w:object>
            </w:r>
            <w:r>
              <w:rPr>
                <w:rFonts w:hint="eastAsia"/>
              </w:rPr>
              <w:t xml:space="preserve">, </w:t>
            </w:r>
            <w:r>
              <w:rPr>
                <w:rFonts w:hint="eastAsia"/>
                <w:position w:val="-66"/>
              </w:rPr>
              <w:object>
                <v:shape id="_x0000_i1041" o:spt="75" type="#_x0000_t75" style="height:58.15pt;width:23.1pt;" o:ole="t" filled="f" o:preferrelative="t" stroked="f" coordsize="21600,21600">
                  <v:path/>
                  <v:fill on="f" focussize="0,0"/>
                  <v:stroke on="f" joinstyle="miter"/>
                  <v:imagedata r:id="rId37" o:title=""/>
                  <o:lock v:ext="edit" aspectratio="t"/>
                  <w10:wrap type="none"/>
                  <w10:anchorlock/>
                </v:shape>
                <o:OLEObject Type="Embed" ProgID="Equation.3" ShapeID="_x0000_i1041" DrawAspect="Content" ObjectID="_1468075741" r:id="rId36">
                  <o:LockedField>false</o:LockedField>
                </o:OLEObject>
              </w:object>
            </w:r>
            <w:r>
              <w:rPr>
                <w:rFonts w:hint="eastAsia"/>
              </w:rPr>
              <w:t xml:space="preserve">, </w:t>
            </w:r>
            <w:r>
              <w:rPr>
                <w:rFonts w:hint="eastAsia"/>
                <w:position w:val="-66"/>
              </w:rPr>
              <w:object>
                <v:shape id="_x0000_i1042" o:spt="75" type="#_x0000_t75" style="height:58.15pt;width:23.1pt;" o:ole="t" filled="f" o:preferrelative="t" stroked="f" coordsize="21600,21600">
                  <v:path/>
                  <v:fill on="f" focussize="0,0"/>
                  <v:stroke on="f" joinstyle="miter"/>
                  <v:imagedata r:id="rId39" o:title=""/>
                  <o:lock v:ext="edit" aspectratio="t"/>
                  <w10:wrap type="none"/>
                  <w10:anchorlock/>
                </v:shape>
                <o:OLEObject Type="Embed" ProgID="Equation.3" ShapeID="_x0000_i1042" DrawAspect="Content" ObjectID="_1468075742" r:id="rId38">
                  <o:LockedField>false</o:LockedField>
                </o:OLEObject>
              </w:object>
            </w:r>
            <w:r>
              <w:rPr>
                <w:rFonts w:hint="eastAsia"/>
              </w:rPr>
              <w:t xml:space="preserve">, </w:t>
            </w:r>
            <w:r>
              <w:rPr>
                <w:rFonts w:hint="eastAsia"/>
                <w:position w:val="-66"/>
              </w:rPr>
              <w:object>
                <v:shape id="_x0000_i1043" o:spt="75" type="#_x0000_t75" style="height:58.15pt;width:23.1pt;" o:ole="t" filled="f" o:preferrelative="t" stroked="f" coordsize="21600,21600">
                  <v:path/>
                  <v:fill on="f" focussize="0,0"/>
                  <v:stroke on="f" joinstyle="miter"/>
                  <v:imagedata r:id="rId41" o:title=""/>
                  <o:lock v:ext="edit" aspectratio="t"/>
                  <w10:wrap type="none"/>
                  <w10:anchorlock/>
                </v:shape>
                <o:OLEObject Type="Embed" ProgID="Equation.3" ShapeID="_x0000_i1043" DrawAspect="Content" ObjectID="_1468075743" r:id="rId40">
                  <o:LockedField>false</o:LockedField>
                </o:OLEObject>
              </w:object>
            </w:r>
          </w:p>
        </w:tc>
        <w:tc>
          <w:tcPr>
            <w:tcW w:w="2860" w:type="dxa"/>
          </w:tcPr>
          <w:p>
            <w:pPr>
              <w:widowControl w:val="0"/>
              <w:spacing w:after="40"/>
              <w:jc w:val="center"/>
            </w:pPr>
            <w:r>
              <w:rPr>
                <w:rFonts w:hint="eastAsia"/>
              </w:rPr>
              <w:t xml:space="preserve">TPMI: </w:t>
            </w:r>
            <w:r>
              <w:t>0</w:t>
            </w:r>
            <w:r>
              <w:rPr>
                <w:rFonts w:hint="eastAsia"/>
              </w:rPr>
              <w:t xml:space="preserve">, </w:t>
            </w:r>
            <w:r>
              <w:t>1</w:t>
            </w:r>
            <w:r>
              <w:rPr>
                <w:rFonts w:hint="eastAsia"/>
              </w:rPr>
              <w:t xml:space="preserve">, </w:t>
            </w:r>
            <w:r>
              <w:t>2</w:t>
            </w:r>
            <w:r>
              <w:rPr>
                <w:rFonts w:hint="eastAsia"/>
              </w:rPr>
              <w:t xml:space="preserve">, </w:t>
            </w:r>
            <w:r>
              <w:t>3</w:t>
            </w:r>
            <w:r>
              <w:rPr>
                <w:rFonts w:hint="eastAsia"/>
              </w:rPr>
              <w:t xml:space="preserve">, </w:t>
            </w:r>
            <w:r>
              <w:t>4</w:t>
            </w:r>
            <w:r>
              <w:rPr>
                <w:rFonts w:hint="eastAsia"/>
              </w:rPr>
              <w:t xml:space="preserve">, </w:t>
            </w:r>
            <w:r>
              <w:t>5</w:t>
            </w:r>
          </w:p>
          <w:p>
            <w:pPr>
              <w:widowControl w:val="0"/>
              <w:spacing w:after="40"/>
              <w:jc w:val="center"/>
            </w:pPr>
            <w:r>
              <w:rPr>
                <w:position w:val="-66"/>
              </w:rPr>
              <w:object>
                <v:shape id="_x0000_i1044" o:spt="75" type="#_x0000_t75" style="height:58.15pt;width:36.95pt;" o:ole="t" filled="f" o:preferrelative="t" stroked="f" coordsize="21600,21600">
                  <v:path/>
                  <v:fill on="f" focussize="0,0"/>
                  <v:stroke on="f" joinstyle="miter"/>
                  <v:imagedata r:id="rId43" o:title=""/>
                  <o:lock v:ext="edit" aspectratio="t"/>
                  <w10:wrap type="none"/>
                  <w10:anchorlock/>
                </v:shape>
                <o:OLEObject Type="Embed" ProgID="Equation.3" ShapeID="_x0000_i1044" DrawAspect="Content" ObjectID="_1468075744" r:id="rId42">
                  <o:LockedField>false</o:LockedField>
                </o:OLEObject>
              </w:object>
            </w:r>
            <w:r>
              <w:rPr>
                <w:rFonts w:hint="eastAsia"/>
              </w:rPr>
              <w:t xml:space="preserve">, </w:t>
            </w:r>
            <w:r>
              <w:rPr>
                <w:rFonts w:hint="eastAsia"/>
                <w:position w:val="-66"/>
              </w:rPr>
              <w:object>
                <v:shape id="_x0000_i1045" o:spt="75" type="#_x0000_t75" style="height:58.15pt;width:36.95pt;" o:ole="t" filled="f" o:preferrelative="t" stroked="f" coordsize="21600,21600">
                  <v:path/>
                  <v:fill on="f" focussize="0,0"/>
                  <v:stroke on="f" joinstyle="miter"/>
                  <v:imagedata r:id="rId45" o:title=""/>
                  <o:lock v:ext="edit" aspectratio="t"/>
                  <w10:wrap type="none"/>
                  <w10:anchorlock/>
                </v:shape>
                <o:OLEObject Type="Embed" ProgID="Equation.3" ShapeID="_x0000_i1045" DrawAspect="Content" ObjectID="_1468075745" r:id="rId44">
                  <o:LockedField>false</o:LockedField>
                </o:OLEObject>
              </w:object>
            </w:r>
            <w:r>
              <w:rPr>
                <w:rFonts w:hint="eastAsia"/>
              </w:rPr>
              <w:t xml:space="preserve">, </w:t>
            </w:r>
            <w:r>
              <w:rPr>
                <w:rFonts w:hint="eastAsia"/>
                <w:position w:val="-66"/>
              </w:rPr>
              <w:object>
                <v:shape id="_x0000_i1046" o:spt="75" type="#_x0000_t75" style="height:58.15pt;width:36.95pt;" o:ole="t" filled="f" o:preferrelative="t" stroked="f" coordsize="21600,21600">
                  <v:path/>
                  <v:fill on="f" focussize="0,0"/>
                  <v:stroke on="f" joinstyle="miter"/>
                  <v:imagedata r:id="rId47" o:title=""/>
                  <o:lock v:ext="edit" aspectratio="t"/>
                  <w10:wrap type="none"/>
                  <w10:anchorlock/>
                </v:shape>
                <o:OLEObject Type="Embed" ProgID="Equation.3" ShapeID="_x0000_i1046" DrawAspect="Content" ObjectID="_1468075746" r:id="rId46">
                  <o:LockedField>false</o:LockedField>
                </o:OLEObject>
              </w:object>
            </w:r>
            <w:r>
              <w:rPr>
                <w:rFonts w:hint="eastAsia"/>
              </w:rPr>
              <w:t xml:space="preserve">, </w:t>
            </w:r>
            <w:r>
              <w:rPr>
                <w:rFonts w:hint="eastAsia"/>
                <w:position w:val="-66"/>
              </w:rPr>
              <w:object>
                <v:shape id="_x0000_i1047" o:spt="75" type="#_x0000_t75" style="height:57.75pt;width:36.6pt;" o:ole="t" filled="f" o:preferrelative="t" stroked="f" coordsize="21600,21600">
                  <v:path/>
                  <v:fill on="f" focussize="0,0"/>
                  <v:stroke on="f" joinstyle="miter"/>
                  <v:imagedata r:id="rId49" o:title=""/>
                  <o:lock v:ext="edit" aspectratio="t"/>
                  <w10:wrap type="none"/>
                  <w10:anchorlock/>
                </v:shape>
                <o:OLEObject Type="Embed" ProgID="Equation.3" ShapeID="_x0000_i1047" DrawAspect="Content" ObjectID="_1468075747" r:id="rId48">
                  <o:LockedField>false</o:LockedField>
                </o:OLEObject>
              </w:object>
            </w:r>
            <w:r>
              <w:rPr>
                <w:rFonts w:hint="eastAsia"/>
              </w:rPr>
              <w:t xml:space="preserve">, </w:t>
            </w:r>
            <w:r>
              <w:rPr>
                <w:rFonts w:hint="eastAsia"/>
                <w:position w:val="-66"/>
              </w:rPr>
              <w:object>
                <v:shape id="_x0000_i1048" o:spt="75" type="#_x0000_t75" style="height:58.15pt;width:36.95pt;" o:ole="t" filled="f" o:preferrelative="t" stroked="f" coordsize="21600,21600">
                  <v:path/>
                  <v:fill on="f" focussize="0,0"/>
                  <v:stroke on="f" joinstyle="miter"/>
                  <v:imagedata r:id="rId51" o:title=""/>
                  <o:lock v:ext="edit" aspectratio="t"/>
                  <w10:wrap type="none"/>
                  <w10:anchorlock/>
                </v:shape>
                <o:OLEObject Type="Embed" ProgID="Equation.3" ShapeID="_x0000_i1048" DrawAspect="Content" ObjectID="_1468075748" r:id="rId50">
                  <o:LockedField>false</o:LockedField>
                </o:OLEObject>
              </w:object>
            </w:r>
            <w:r>
              <w:rPr>
                <w:rFonts w:hint="eastAsia"/>
              </w:rPr>
              <w:t xml:space="preserve">, </w:t>
            </w:r>
            <w:r>
              <w:rPr>
                <w:rFonts w:hint="eastAsia"/>
                <w:position w:val="-66"/>
              </w:rPr>
              <w:object>
                <v:shape id="_x0000_i1049" o:spt="75" type="#_x0000_t75" style="height:58.15pt;width:36.95pt;" o:ole="t" filled="f" o:preferrelative="t" stroked="f" coordsize="21600,21600">
                  <v:path/>
                  <v:fill on="f" focussize="0,0"/>
                  <v:stroke on="f" joinstyle="miter"/>
                  <v:imagedata r:id="rId53" o:title=""/>
                  <o:lock v:ext="edit" aspectratio="t"/>
                  <w10:wrap type="none"/>
                  <w10:anchorlock/>
                </v:shape>
                <o:OLEObject Type="Embed" ProgID="Equation.3" ShapeID="_x0000_i1049" DrawAspect="Content" ObjectID="_1468075749" r:id="rId52">
                  <o:LockedField>false</o:LockedField>
                </o:OLEObject>
              </w:object>
            </w:r>
          </w:p>
        </w:tc>
        <w:tc>
          <w:tcPr>
            <w:tcW w:w="1577" w:type="dxa"/>
          </w:tcPr>
          <w:p>
            <w:pPr>
              <w:widowControl w:val="0"/>
              <w:spacing w:after="40"/>
              <w:jc w:val="center"/>
            </w:pPr>
            <w:r>
              <w:rPr>
                <w:rFonts w:hint="eastAsia"/>
              </w:rPr>
              <w:t>TPMI: 0</w:t>
            </w:r>
          </w:p>
          <w:p>
            <w:pPr>
              <w:widowControl w:val="0"/>
              <w:spacing w:after="40"/>
              <w:jc w:val="center"/>
            </w:pPr>
            <w:r>
              <w:rPr>
                <w:position w:val="-66"/>
              </w:rPr>
              <w:object>
                <v:shape id="_x0000_i1050" o:spt="75" type="#_x0000_t75" style="height:58.15pt;width:50.45pt;" o:ole="t" filled="f" o:preferrelative="t" stroked="f" coordsize="21600,21600">
                  <v:path/>
                  <v:fill on="f" focussize="0,0"/>
                  <v:stroke on="f" joinstyle="miter"/>
                  <v:imagedata r:id="rId55" o:title=""/>
                  <o:lock v:ext="edit" aspectratio="t"/>
                  <w10:wrap type="none"/>
                  <w10:anchorlock/>
                </v:shape>
                <o:OLEObject Type="Embed" ProgID="Equation.3" ShapeID="_x0000_i1050" DrawAspect="Content" ObjectID="_1468075750" r:id="rId5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8" w:hRule="atLeast"/>
          <w:jc w:val="center"/>
        </w:trPr>
        <w:tc>
          <w:tcPr>
            <w:tcW w:w="1407" w:type="dxa"/>
            <w:vAlign w:val="center"/>
          </w:tcPr>
          <w:p>
            <w:pPr>
              <w:widowControl w:val="0"/>
              <w:spacing w:after="40"/>
              <w:jc w:val="center"/>
            </w:pPr>
            <w:r>
              <w:t>Partial-coherent UE</w:t>
            </w:r>
          </w:p>
        </w:tc>
        <w:tc>
          <w:tcPr>
            <w:tcW w:w="3720" w:type="dxa"/>
          </w:tcPr>
          <w:p>
            <w:pPr>
              <w:widowControl w:val="0"/>
              <w:spacing w:after="40"/>
              <w:jc w:val="center"/>
            </w:pPr>
            <w:r>
              <w:rPr>
                <w:rFonts w:hint="eastAsia"/>
              </w:rPr>
              <w:t>TPMI: 0, 1, 2, 3, {4, 5, 6, 7}, {8, 9, 10, 11}</w:t>
            </w:r>
          </w:p>
          <w:p>
            <w:pPr>
              <w:widowControl w:val="0"/>
              <w:spacing w:after="40"/>
              <w:jc w:val="center"/>
            </w:pPr>
            <w:r>
              <w:rPr>
                <w:position w:val="-66"/>
              </w:rPr>
              <w:object>
                <v:shape id="_x0000_i1051" o:spt="75" type="#_x0000_t75" style="height:58.15pt;width:23.1pt;" o:ole="t" filled="f" o:preferrelative="t" stroked="f" coordsize="21600,21600">
                  <v:path/>
                  <v:fill on="f" focussize="0,0"/>
                  <v:stroke on="f" joinstyle="miter"/>
                  <v:imagedata r:id="rId35" o:title=""/>
                  <o:lock v:ext="edit" aspectratio="t"/>
                  <w10:wrap type="none"/>
                  <w10:anchorlock/>
                </v:shape>
                <o:OLEObject Type="Embed" ProgID="Equation.3" ShapeID="_x0000_i1051" DrawAspect="Content" ObjectID="_1468075751" r:id="rId56">
                  <o:LockedField>false</o:LockedField>
                </o:OLEObject>
              </w:object>
            </w:r>
            <w:r>
              <w:rPr>
                <w:rFonts w:hint="eastAsia"/>
              </w:rPr>
              <w:t xml:space="preserve">, </w:t>
            </w:r>
            <w:r>
              <w:rPr>
                <w:rFonts w:hint="eastAsia"/>
                <w:position w:val="-66"/>
              </w:rPr>
              <w:object>
                <v:shape id="_x0000_i1052" o:spt="75" type="#_x0000_t75" style="height:58.15pt;width:23.1pt;" o:ole="t" filled="f" o:preferrelative="t" stroked="f" coordsize="21600,21600">
                  <v:path/>
                  <v:fill on="f" focussize="0,0"/>
                  <v:stroke on="f" joinstyle="miter"/>
                  <v:imagedata r:id="rId37" o:title=""/>
                  <o:lock v:ext="edit" aspectratio="t"/>
                  <w10:wrap type="none"/>
                  <w10:anchorlock/>
                </v:shape>
                <o:OLEObject Type="Embed" ProgID="Equation.3" ShapeID="_x0000_i1052" DrawAspect="Content" ObjectID="_1468075752" r:id="rId57">
                  <o:LockedField>false</o:LockedField>
                </o:OLEObject>
              </w:object>
            </w:r>
            <w:r>
              <w:rPr>
                <w:rFonts w:hint="eastAsia"/>
              </w:rPr>
              <w:t xml:space="preserve">, </w:t>
            </w:r>
            <w:r>
              <w:rPr>
                <w:rFonts w:hint="eastAsia"/>
                <w:position w:val="-66"/>
              </w:rPr>
              <w:object>
                <v:shape id="_x0000_i1053" o:spt="75" type="#_x0000_t75" style="height:58.15pt;width:23.1pt;" o:ole="t" filled="f" o:preferrelative="t" stroked="f" coordsize="21600,21600">
                  <v:path/>
                  <v:fill on="f" focussize="0,0"/>
                  <v:stroke on="f" joinstyle="miter"/>
                  <v:imagedata r:id="rId39" o:title=""/>
                  <o:lock v:ext="edit" aspectratio="t"/>
                  <w10:wrap type="none"/>
                  <w10:anchorlock/>
                </v:shape>
                <o:OLEObject Type="Embed" ProgID="Equation.3" ShapeID="_x0000_i1053" DrawAspect="Content" ObjectID="_1468075753" r:id="rId58">
                  <o:LockedField>false</o:LockedField>
                </o:OLEObject>
              </w:object>
            </w:r>
            <w:r>
              <w:rPr>
                <w:rFonts w:hint="eastAsia"/>
              </w:rPr>
              <w:t xml:space="preserve">, </w:t>
            </w:r>
            <w:r>
              <w:rPr>
                <w:rFonts w:hint="eastAsia"/>
                <w:position w:val="-66"/>
              </w:rPr>
              <w:object>
                <v:shape id="_x0000_i1054" o:spt="75" type="#_x0000_t75" style="height:58.15pt;width:23.1pt;" o:ole="t" filled="f" o:preferrelative="t" stroked="f" coordsize="21600,21600">
                  <v:path/>
                  <v:fill on="f" focussize="0,0"/>
                  <v:stroke on="f" joinstyle="miter"/>
                  <v:imagedata r:id="rId41" o:title=""/>
                  <o:lock v:ext="edit" aspectratio="t"/>
                  <w10:wrap type="none"/>
                  <w10:anchorlock/>
                </v:shape>
                <o:OLEObject Type="Embed" ProgID="Equation.3" ShapeID="_x0000_i1054" DrawAspect="Content" ObjectID="_1468075754" r:id="rId59">
                  <o:LockedField>false</o:LockedField>
                </o:OLEObject>
              </w:object>
            </w:r>
            <w:r>
              <w:rPr>
                <w:rFonts w:hint="eastAsia"/>
              </w:rPr>
              <w:t>,</w:t>
            </w:r>
          </w:p>
          <w:p>
            <w:pPr>
              <w:widowControl w:val="0"/>
              <w:spacing w:after="40"/>
              <w:jc w:val="center"/>
            </w:pPr>
            <w:r>
              <w:rPr>
                <w:position w:val="-68"/>
              </w:rPr>
              <w:object>
                <v:shape id="_x0000_i1055" o:spt="75" type="#_x0000_t75" style="height:59.3pt;width:117.45pt;" o:ole="t" filled="f" o:preferrelative="t" stroked="f" coordsize="21600,21600">
                  <v:path/>
                  <v:fill on="f" focussize="0,0"/>
                  <v:stroke on="f" joinstyle="miter"/>
                  <v:imagedata r:id="rId61" o:title=""/>
                  <o:lock v:ext="edit" aspectratio="t"/>
                  <w10:wrap type="none"/>
                  <w10:anchorlock/>
                </v:shape>
                <o:OLEObject Type="Embed" ProgID="Equation.3" ShapeID="_x0000_i1055" DrawAspect="Content" ObjectID="_1468075755" r:id="rId60">
                  <o:LockedField>false</o:LockedField>
                </o:OLEObject>
              </w:object>
            </w:r>
            <w:r>
              <w:rPr>
                <w:rFonts w:hint="eastAsia"/>
              </w:rPr>
              <w:t>,</w:t>
            </w:r>
          </w:p>
          <w:p>
            <w:pPr>
              <w:widowControl w:val="0"/>
              <w:spacing w:after="40"/>
              <w:jc w:val="center"/>
            </w:pPr>
            <w:r>
              <w:rPr>
                <w:position w:val="-68"/>
              </w:rPr>
              <w:object>
                <v:shape id="_x0000_i1056" o:spt="75" type="#_x0000_t75" style="height:59.3pt;width:117.45pt;" o:ole="t" filled="f" o:preferrelative="t" stroked="f" coordsize="21600,21600">
                  <v:path/>
                  <v:fill on="f" focussize="0,0"/>
                  <v:stroke on="f" joinstyle="miter"/>
                  <v:imagedata r:id="rId63" o:title=""/>
                  <o:lock v:ext="edit" aspectratio="t"/>
                  <w10:wrap type="none"/>
                  <w10:anchorlock/>
                </v:shape>
                <o:OLEObject Type="Embed" ProgID="Equation.3" ShapeID="_x0000_i1056" DrawAspect="Content" ObjectID="_1468075756" r:id="rId62">
                  <o:LockedField>false</o:LockedField>
                </o:OLEObject>
              </w:object>
            </w:r>
          </w:p>
        </w:tc>
        <w:tc>
          <w:tcPr>
            <w:tcW w:w="2860" w:type="dxa"/>
          </w:tcPr>
          <w:p>
            <w:pPr>
              <w:widowControl w:val="0"/>
              <w:spacing w:after="40"/>
              <w:jc w:val="center"/>
            </w:pPr>
            <w:r>
              <w:rPr>
                <w:rFonts w:hint="eastAsia"/>
              </w:rPr>
              <w:t xml:space="preserve">TPMI: </w:t>
            </w:r>
            <w:r>
              <w:t>0</w:t>
            </w:r>
            <w:r>
              <w:rPr>
                <w:rFonts w:hint="eastAsia"/>
              </w:rPr>
              <w:t xml:space="preserve">, </w:t>
            </w:r>
            <w:r>
              <w:t>1</w:t>
            </w:r>
            <w:r>
              <w:rPr>
                <w:rFonts w:hint="eastAsia"/>
              </w:rPr>
              <w:t xml:space="preserve">, </w:t>
            </w:r>
            <w:r>
              <w:t>2</w:t>
            </w:r>
            <w:r>
              <w:rPr>
                <w:rFonts w:hint="eastAsia"/>
              </w:rPr>
              <w:t xml:space="preserve">, </w:t>
            </w:r>
            <w:r>
              <w:t>3</w:t>
            </w:r>
            <w:r>
              <w:rPr>
                <w:rFonts w:hint="eastAsia"/>
              </w:rPr>
              <w:t xml:space="preserve">, </w:t>
            </w:r>
            <w:r>
              <w:t>4</w:t>
            </w:r>
            <w:r>
              <w:rPr>
                <w:rFonts w:hint="eastAsia"/>
              </w:rPr>
              <w:t xml:space="preserve">, </w:t>
            </w:r>
            <w:r>
              <w:t>5</w:t>
            </w:r>
          </w:p>
          <w:p>
            <w:pPr>
              <w:widowControl w:val="0"/>
              <w:spacing w:after="40"/>
              <w:jc w:val="center"/>
            </w:pPr>
            <w:r>
              <w:rPr>
                <w:position w:val="-66"/>
              </w:rPr>
              <w:object>
                <v:shape id="_x0000_i1057" o:spt="75" type="#_x0000_t75" style="height:58.15pt;width:36.95pt;" o:ole="t" filled="f" o:preferrelative="t" stroked="f" coordsize="21600,21600">
                  <v:path/>
                  <v:fill on="f" focussize="0,0"/>
                  <v:stroke on="f" joinstyle="miter"/>
                  <v:imagedata r:id="rId43" o:title=""/>
                  <o:lock v:ext="edit" aspectratio="t"/>
                  <w10:wrap type="none"/>
                  <w10:anchorlock/>
                </v:shape>
                <o:OLEObject Type="Embed" ProgID="Equation.3" ShapeID="_x0000_i1057" DrawAspect="Content" ObjectID="_1468075757" r:id="rId64">
                  <o:LockedField>false</o:LockedField>
                </o:OLEObject>
              </w:object>
            </w:r>
            <w:r>
              <w:rPr>
                <w:rFonts w:hint="eastAsia"/>
              </w:rPr>
              <w:t xml:space="preserve">, </w:t>
            </w:r>
            <w:r>
              <w:rPr>
                <w:rFonts w:hint="eastAsia"/>
                <w:position w:val="-66"/>
              </w:rPr>
              <w:object>
                <v:shape id="_x0000_i1058" o:spt="75" type="#_x0000_t75" style="height:58.15pt;width:36.95pt;" o:ole="t" filled="f" o:preferrelative="t" stroked="f" coordsize="21600,21600">
                  <v:path/>
                  <v:fill on="f" focussize="0,0"/>
                  <v:stroke on="f" joinstyle="miter"/>
                  <v:imagedata r:id="rId45" o:title=""/>
                  <o:lock v:ext="edit" aspectratio="t"/>
                  <w10:wrap type="none"/>
                  <w10:anchorlock/>
                </v:shape>
                <o:OLEObject Type="Embed" ProgID="Equation.3" ShapeID="_x0000_i1058" DrawAspect="Content" ObjectID="_1468075758" r:id="rId65">
                  <o:LockedField>false</o:LockedField>
                </o:OLEObject>
              </w:object>
            </w:r>
            <w:r>
              <w:rPr>
                <w:rFonts w:hint="eastAsia"/>
              </w:rPr>
              <w:t xml:space="preserve">, </w:t>
            </w:r>
            <w:r>
              <w:rPr>
                <w:rFonts w:hint="eastAsia"/>
                <w:position w:val="-66"/>
              </w:rPr>
              <w:object>
                <v:shape id="_x0000_i1059" o:spt="75" type="#_x0000_t75" style="height:58.15pt;width:36.95pt;" o:ole="t" filled="f" o:preferrelative="t" stroked="f" coordsize="21600,21600">
                  <v:path/>
                  <v:fill on="f" focussize="0,0"/>
                  <v:stroke on="f" joinstyle="miter"/>
                  <v:imagedata r:id="rId47" o:title=""/>
                  <o:lock v:ext="edit" aspectratio="t"/>
                  <w10:wrap type="none"/>
                  <w10:anchorlock/>
                </v:shape>
                <o:OLEObject Type="Embed" ProgID="Equation.3" ShapeID="_x0000_i1059" DrawAspect="Content" ObjectID="_1468075759" r:id="rId66">
                  <o:LockedField>false</o:LockedField>
                </o:OLEObject>
              </w:object>
            </w:r>
            <w:r>
              <w:rPr>
                <w:rFonts w:hint="eastAsia"/>
              </w:rPr>
              <w:t xml:space="preserve">, </w:t>
            </w:r>
            <w:r>
              <w:rPr>
                <w:rFonts w:hint="eastAsia"/>
                <w:position w:val="-66"/>
              </w:rPr>
              <w:object>
                <v:shape id="_x0000_i1060" o:spt="75" type="#_x0000_t75" style="height:57.75pt;width:36.6pt;" o:ole="t" filled="f" o:preferrelative="t" stroked="f" coordsize="21600,21600">
                  <v:path/>
                  <v:fill on="f" focussize="0,0"/>
                  <v:stroke on="f" joinstyle="miter"/>
                  <v:imagedata r:id="rId49" o:title=""/>
                  <o:lock v:ext="edit" aspectratio="t"/>
                  <w10:wrap type="none"/>
                  <w10:anchorlock/>
                </v:shape>
                <o:OLEObject Type="Embed" ProgID="Equation.3" ShapeID="_x0000_i1060" DrawAspect="Content" ObjectID="_1468075760" r:id="rId67">
                  <o:LockedField>false</o:LockedField>
                </o:OLEObject>
              </w:object>
            </w:r>
            <w:r>
              <w:rPr>
                <w:rFonts w:hint="eastAsia"/>
              </w:rPr>
              <w:t xml:space="preserve">, </w:t>
            </w:r>
            <w:r>
              <w:rPr>
                <w:rFonts w:hint="eastAsia"/>
                <w:position w:val="-66"/>
              </w:rPr>
              <w:object>
                <v:shape id="_x0000_i1061" o:spt="75" type="#_x0000_t75" style="height:58.15pt;width:36.95pt;" o:ole="t" filled="f" o:preferrelative="t" stroked="f" coordsize="21600,21600">
                  <v:path/>
                  <v:fill on="f" focussize="0,0"/>
                  <v:stroke on="f" joinstyle="miter"/>
                  <v:imagedata r:id="rId51" o:title=""/>
                  <o:lock v:ext="edit" aspectratio="t"/>
                  <w10:wrap type="none"/>
                  <w10:anchorlock/>
                </v:shape>
                <o:OLEObject Type="Embed" ProgID="Equation.3" ShapeID="_x0000_i1061" DrawAspect="Content" ObjectID="_1468075761" r:id="rId68">
                  <o:LockedField>false</o:LockedField>
                </o:OLEObject>
              </w:object>
            </w:r>
            <w:r>
              <w:rPr>
                <w:rFonts w:hint="eastAsia"/>
              </w:rPr>
              <w:t xml:space="preserve">, </w:t>
            </w:r>
            <w:r>
              <w:rPr>
                <w:rFonts w:hint="eastAsia"/>
                <w:position w:val="-66"/>
              </w:rPr>
              <w:object>
                <v:shape id="_x0000_i1062" o:spt="75" type="#_x0000_t75" style="height:58.15pt;width:36.95pt;" o:ole="t" filled="f" o:preferrelative="t" stroked="f" coordsize="21600,21600">
                  <v:path/>
                  <v:fill on="f" focussize="0,0"/>
                  <v:stroke on="f" joinstyle="miter"/>
                  <v:imagedata r:id="rId53" o:title=""/>
                  <o:lock v:ext="edit" aspectratio="t"/>
                  <w10:wrap type="none"/>
                  <w10:anchorlock/>
                </v:shape>
                <o:OLEObject Type="Embed" ProgID="Equation.3" ShapeID="_x0000_i1062" DrawAspect="Content" ObjectID="_1468075762" r:id="rId69">
                  <o:LockedField>false</o:LockedField>
                </o:OLEObject>
              </w:object>
            </w:r>
          </w:p>
        </w:tc>
        <w:tc>
          <w:tcPr>
            <w:tcW w:w="1577" w:type="dxa"/>
          </w:tcPr>
          <w:p>
            <w:pPr>
              <w:widowControl w:val="0"/>
              <w:spacing w:after="40"/>
              <w:jc w:val="center"/>
            </w:pPr>
            <w:r>
              <w:rPr>
                <w:rFonts w:hint="eastAsia"/>
              </w:rPr>
              <w:t>TPMI: 0</w:t>
            </w:r>
          </w:p>
          <w:p>
            <w:pPr>
              <w:widowControl w:val="0"/>
              <w:spacing w:after="40"/>
              <w:jc w:val="center"/>
            </w:pPr>
            <w:r>
              <w:rPr>
                <w:position w:val="-66"/>
              </w:rPr>
              <w:object>
                <v:shape id="_x0000_i1063" o:spt="75" type="#_x0000_t75" style="height:58.15pt;width:50.45pt;" o:ole="t" filled="f" o:preferrelative="t" stroked="f" coordsize="21600,21600">
                  <v:path/>
                  <v:fill on="f" focussize="0,0"/>
                  <v:stroke on="f" joinstyle="miter"/>
                  <v:imagedata r:id="rId55" o:title=""/>
                  <o:lock v:ext="edit" aspectratio="t"/>
                  <w10:wrap type="none"/>
                  <w10:anchorlock/>
                </v:shape>
                <o:OLEObject Type="Embed" ProgID="Equation.3" ShapeID="_x0000_i1063" DrawAspect="Content" ObjectID="_1468075763" r:id="rId70">
                  <o:LockedField>false</o:LockedField>
                </o:OLEObject>
              </w:object>
            </w:r>
          </w:p>
        </w:tc>
      </w:tr>
    </w:tbl>
    <w:p>
      <w:pPr>
        <w:overflowPunct w:val="0"/>
        <w:autoSpaceDE w:val="0"/>
        <w:autoSpaceDN w:val="0"/>
        <w:adjustRightInd w:val="0"/>
        <w:snapToGrid w:val="0"/>
        <w:spacing w:before="180" w:beforeLines="50" w:after="120" w:line="300" w:lineRule="auto"/>
        <w:jc w:val="both"/>
        <w:textAlignment w:val="baseline"/>
        <w:rPr>
          <w:rFonts w:eastAsia="宋体"/>
        </w:rPr>
      </w:pPr>
      <w:r>
        <w:rPr>
          <w:rFonts w:eastAsia="宋体"/>
        </w:rPr>
        <w:t>In order to unify the UE capability reporting, the approach of using the b</w:t>
      </w:r>
      <w:r>
        <w:rPr>
          <w:rFonts w:hint="eastAsia" w:eastAsia="宋体"/>
        </w:rPr>
        <w:t xml:space="preserve">itmap </w:t>
      </w:r>
      <w:r>
        <w:rPr>
          <w:rFonts w:eastAsia="宋体"/>
        </w:rPr>
        <w:t>is recommended. Specifically, e</w:t>
      </w:r>
      <w:r>
        <w:rPr>
          <w:rFonts w:hint="eastAsia" w:eastAsia="宋体"/>
        </w:rPr>
        <w:t xml:space="preserve">ach bit </w:t>
      </w:r>
      <w:r>
        <w:rPr>
          <w:rFonts w:eastAsia="宋体"/>
        </w:rPr>
        <w:t xml:space="preserve">in the bitmap </w:t>
      </w:r>
      <w:r>
        <w:rPr>
          <w:rFonts w:hint="eastAsia" w:eastAsia="微软雅黑"/>
          <w:szCs w:val="20"/>
        </w:rPr>
        <w:t>correspond</w:t>
      </w:r>
      <w:r>
        <w:rPr>
          <w:rFonts w:eastAsia="微软雅黑"/>
          <w:szCs w:val="20"/>
        </w:rPr>
        <w:t>s</w:t>
      </w:r>
      <w:r>
        <w:rPr>
          <w:rFonts w:eastAsia="宋体"/>
        </w:rPr>
        <w:t xml:space="preserve"> </w:t>
      </w:r>
      <w:r>
        <w:rPr>
          <w:rFonts w:hint="eastAsia" w:eastAsia="宋体"/>
        </w:rPr>
        <w:t>to a TPMI or a group of TPMIs</w:t>
      </w:r>
      <w:r>
        <w:rPr>
          <w:rFonts w:eastAsia="宋体"/>
        </w:rPr>
        <w:t>, and then the candidate</w:t>
      </w:r>
      <w:r>
        <w:rPr>
          <w:rFonts w:hint="eastAsia" w:eastAsia="宋体"/>
        </w:rPr>
        <w:t xml:space="preserve"> bit value could be</w:t>
      </w:r>
      <w:r>
        <w:rPr>
          <w:rFonts w:eastAsia="宋体"/>
        </w:rPr>
        <w:t>:</w:t>
      </w:r>
      <w:r>
        <w:rPr>
          <w:rFonts w:hint="eastAsia" w:eastAsia="宋体"/>
        </w:rPr>
        <w:t xml:space="preserve"> 1- support full rated power, 0- not support full rated power.</w:t>
      </w:r>
    </w:p>
    <w:p>
      <w:pPr>
        <w:numPr>
          <w:ilvl w:val="0"/>
          <w:numId w:val="5"/>
        </w:numPr>
        <w:overflowPunct w:val="0"/>
        <w:autoSpaceDE w:val="0"/>
        <w:autoSpaceDN w:val="0"/>
        <w:adjustRightInd w:val="0"/>
        <w:snapToGrid w:val="0"/>
        <w:spacing w:before="180" w:beforeLines="50" w:after="120" w:line="300" w:lineRule="auto"/>
        <w:ind w:hanging="357"/>
        <w:jc w:val="both"/>
        <w:textAlignment w:val="baseline"/>
        <w:rPr>
          <w:rFonts w:eastAsia="宋体"/>
        </w:rPr>
      </w:pPr>
      <w:r>
        <w:rPr>
          <w:rFonts w:eastAsia="宋体"/>
        </w:rPr>
        <w:t xml:space="preserve">It should be noticed that only </w:t>
      </w:r>
      <w:r>
        <w:rPr>
          <w:rFonts w:hint="eastAsia" w:eastAsia="宋体"/>
        </w:rPr>
        <w:t>11</w:t>
      </w:r>
      <w:r>
        <w:rPr>
          <w:rFonts w:eastAsia="宋体"/>
        </w:rPr>
        <w:t xml:space="preserve"> bits </w:t>
      </w:r>
      <w:r>
        <w:rPr>
          <w:rFonts w:hint="eastAsia" w:eastAsia="宋体"/>
        </w:rPr>
        <w:t xml:space="preserve">are </w:t>
      </w:r>
      <w:r>
        <w:rPr>
          <w:rFonts w:eastAsia="宋体"/>
          <w:szCs w:val="20"/>
        </w:rPr>
        <w:t>sufficient</w:t>
      </w:r>
      <w:r>
        <w:rPr>
          <w:rFonts w:eastAsia="宋体"/>
        </w:rPr>
        <w:t xml:space="preserve"> </w:t>
      </w:r>
      <w:r>
        <w:rPr>
          <w:rFonts w:hint="eastAsia" w:eastAsia="宋体"/>
        </w:rPr>
        <w:t xml:space="preserve">for both non-coherent and partial-coherent 4 port UE. </w:t>
      </w:r>
    </w:p>
    <w:p>
      <w:pPr>
        <w:numPr>
          <w:ilvl w:val="1"/>
          <w:numId w:val="5"/>
        </w:numPr>
        <w:overflowPunct w:val="0"/>
        <w:autoSpaceDE w:val="0"/>
        <w:autoSpaceDN w:val="0"/>
        <w:adjustRightInd w:val="0"/>
        <w:snapToGrid w:val="0"/>
        <w:spacing w:before="180" w:beforeLines="50" w:after="120" w:line="300" w:lineRule="auto"/>
        <w:jc w:val="both"/>
        <w:textAlignment w:val="baseline"/>
        <w:rPr>
          <w:rFonts w:eastAsia="宋体"/>
        </w:rPr>
      </w:pPr>
      <w:r>
        <w:rPr>
          <w:rFonts w:hint="eastAsia" w:eastAsia="宋体"/>
        </w:rPr>
        <w:t>Notice that</w:t>
      </w:r>
      <w:r>
        <w:rPr>
          <w:rFonts w:eastAsia="宋体"/>
        </w:rPr>
        <w:t>, for partial-coherent UE,</w:t>
      </w:r>
      <w:r>
        <w:rPr>
          <w:rFonts w:hint="eastAsia" w:eastAsia="宋体"/>
        </w:rPr>
        <w:t xml:space="preserve"> </w:t>
      </w:r>
      <w:r>
        <w:rPr>
          <w:rFonts w:hint="eastAsia"/>
        </w:rPr>
        <w:t>TPMI =</w:t>
      </w:r>
      <w:r>
        <w:t>1</w:t>
      </w:r>
      <w:r>
        <w:rPr>
          <w:rFonts w:hint="eastAsia"/>
        </w:rPr>
        <w:t xml:space="preserve"> for rank2 </w:t>
      </w:r>
      <w:r>
        <w:t xml:space="preserve">should have </w:t>
      </w:r>
      <w:r>
        <w:rPr>
          <w:rFonts w:hint="eastAsia"/>
        </w:rPr>
        <w:t xml:space="preserve">the </w:t>
      </w:r>
      <w:r>
        <w:rPr>
          <w:rFonts w:hint="eastAsia" w:eastAsia="宋体"/>
        </w:rPr>
        <w:t>same</w:t>
      </w:r>
      <w:r>
        <w:rPr>
          <w:rFonts w:hint="eastAsia"/>
        </w:rPr>
        <w:t xml:space="preserve"> </w:t>
      </w:r>
      <w:r>
        <w:t xml:space="preserve">full Tx </w:t>
      </w:r>
      <w:r>
        <w:rPr>
          <w:rFonts w:hint="eastAsia"/>
        </w:rPr>
        <w:t xml:space="preserve">power capability as </w:t>
      </w:r>
      <w:r>
        <w:rPr>
          <w:rFonts w:hint="eastAsia" w:eastAsia="宋体"/>
        </w:rPr>
        <w:t xml:space="preserve">TPMI = </w:t>
      </w:r>
      <w:r>
        <w:rPr>
          <w:rFonts w:hint="eastAsia"/>
        </w:rPr>
        <w:t>{4, 5, 6, 7} for rank1, and</w:t>
      </w:r>
      <w:r>
        <w:t xml:space="preserve"> also</w:t>
      </w:r>
      <w:r>
        <w:rPr>
          <w:rFonts w:hint="eastAsia"/>
        </w:rPr>
        <w:t xml:space="preserve"> TPMI =</w:t>
      </w:r>
      <w:r>
        <w:t xml:space="preserve"> 4</w:t>
      </w:r>
      <w:r>
        <w:rPr>
          <w:rFonts w:hint="eastAsia"/>
        </w:rPr>
        <w:t xml:space="preserve"> </w:t>
      </w:r>
      <w:r>
        <w:rPr>
          <w:rFonts w:hint="eastAsia" w:eastAsia="宋体"/>
        </w:rPr>
        <w:t>for</w:t>
      </w:r>
      <w:r>
        <w:rPr>
          <w:rFonts w:hint="eastAsia"/>
        </w:rPr>
        <w:t xml:space="preserve"> rank 2 </w:t>
      </w:r>
      <w:r>
        <w:t>should have</w:t>
      </w:r>
      <w:r>
        <w:rPr>
          <w:rFonts w:hint="eastAsia"/>
        </w:rPr>
        <w:t xml:space="preserve"> the same power capability as </w:t>
      </w:r>
      <w:r>
        <w:rPr>
          <w:rFonts w:hint="eastAsia" w:eastAsia="宋体"/>
        </w:rPr>
        <w:t xml:space="preserve">TPMI = </w:t>
      </w:r>
      <w:r>
        <w:rPr>
          <w:rFonts w:hint="eastAsia"/>
        </w:rPr>
        <w:t>{8, 9, 10, 11} for rank1.</w:t>
      </w:r>
    </w:p>
    <w:p>
      <w:pPr>
        <w:overflowPunct w:val="0"/>
        <w:autoSpaceDE w:val="0"/>
        <w:autoSpaceDN w:val="0"/>
        <w:adjustRightInd w:val="0"/>
        <w:snapToGrid w:val="0"/>
        <w:spacing w:before="180" w:beforeLines="50" w:after="120" w:line="300" w:lineRule="auto"/>
        <w:jc w:val="both"/>
        <w:textAlignment w:val="baseline"/>
        <w:rPr>
          <w:rFonts w:eastAsia="宋体"/>
          <w:i/>
          <w:iCs/>
        </w:rPr>
      </w:pPr>
      <w:r>
        <w:rPr>
          <w:rFonts w:hint="eastAsia" w:eastAsia="宋体"/>
          <w:b/>
          <w:bCs/>
          <w:i/>
          <w:iCs/>
        </w:rPr>
        <w:t>Proposal 3:</w:t>
      </w:r>
      <w:r>
        <w:rPr>
          <w:rFonts w:hint="eastAsia" w:eastAsia="宋体"/>
          <w:i/>
          <w:iCs/>
        </w:rPr>
        <w:t xml:space="preserve"> </w:t>
      </w:r>
      <w:r>
        <w:rPr>
          <w:rFonts w:eastAsia="宋体"/>
          <w:i/>
          <w:iCs/>
        </w:rPr>
        <w:t>For</w:t>
      </w:r>
      <w:r>
        <w:rPr>
          <w:rFonts w:hint="eastAsia" w:eastAsia="宋体"/>
          <w:i/>
          <w:iCs/>
        </w:rPr>
        <w:t xml:space="preserve"> report</w:t>
      </w:r>
      <w:r>
        <w:rPr>
          <w:rFonts w:eastAsia="宋体"/>
          <w:i/>
          <w:iCs/>
        </w:rPr>
        <w:t>ing</w:t>
      </w:r>
      <w:r>
        <w:rPr>
          <w:rFonts w:hint="eastAsia" w:eastAsia="宋体"/>
          <w:i/>
          <w:iCs/>
        </w:rPr>
        <w:t xml:space="preserve"> power capability for TPMI(s) in mode2 for 4 TX UE, </w:t>
      </w:r>
      <w:r>
        <w:rPr>
          <w:rFonts w:eastAsia="宋体"/>
          <w:i/>
          <w:iCs/>
        </w:rPr>
        <w:t>a b</w:t>
      </w:r>
      <w:r>
        <w:rPr>
          <w:rFonts w:hint="eastAsia" w:eastAsia="宋体"/>
          <w:i/>
          <w:iCs/>
        </w:rPr>
        <w:t xml:space="preserve">itmap </w:t>
      </w:r>
      <w:r>
        <w:rPr>
          <w:rFonts w:eastAsia="宋体"/>
          <w:i/>
          <w:iCs/>
        </w:rPr>
        <w:t xml:space="preserve">is used </w:t>
      </w:r>
      <w:r>
        <w:rPr>
          <w:rFonts w:hint="eastAsia" w:eastAsia="宋体"/>
          <w:i/>
          <w:iCs/>
        </w:rPr>
        <w:t xml:space="preserve">to report power capability, </w:t>
      </w:r>
      <w:r>
        <w:rPr>
          <w:rFonts w:eastAsia="宋体"/>
          <w:i/>
          <w:iCs/>
        </w:rPr>
        <w:t xml:space="preserve">and </w:t>
      </w:r>
      <w:r>
        <w:rPr>
          <w:rFonts w:hint="eastAsia" w:eastAsia="宋体"/>
          <w:i/>
          <w:iCs/>
        </w:rPr>
        <w:t>each bit correspond</w:t>
      </w:r>
      <w:r>
        <w:rPr>
          <w:rFonts w:eastAsia="宋体"/>
          <w:i/>
          <w:iCs/>
        </w:rPr>
        <w:t xml:space="preserve">s </w:t>
      </w:r>
      <w:r>
        <w:rPr>
          <w:rFonts w:hint="eastAsia" w:eastAsia="宋体"/>
          <w:i/>
          <w:iCs/>
        </w:rPr>
        <w:t>to a TPMI or a group of TPMIs</w:t>
      </w:r>
    </w:p>
    <w:p>
      <w:pPr>
        <w:numPr>
          <w:ilvl w:val="0"/>
          <w:numId w:val="5"/>
        </w:numPr>
        <w:overflowPunct w:val="0"/>
        <w:autoSpaceDE w:val="0"/>
        <w:autoSpaceDN w:val="0"/>
        <w:adjustRightInd w:val="0"/>
        <w:snapToGrid w:val="0"/>
        <w:spacing w:before="180" w:beforeLines="50" w:after="120" w:line="300" w:lineRule="auto"/>
        <w:ind w:hanging="357"/>
        <w:jc w:val="both"/>
        <w:textAlignment w:val="baseline"/>
        <w:rPr>
          <w:rFonts w:eastAsia="宋体"/>
          <w:i/>
          <w:iCs/>
          <w:szCs w:val="20"/>
        </w:rPr>
      </w:pPr>
      <w:r>
        <w:rPr>
          <w:rFonts w:eastAsia="宋体"/>
          <w:i/>
          <w:iCs/>
          <w:szCs w:val="20"/>
        </w:rPr>
        <w:t>The candidate</w:t>
      </w:r>
      <w:r>
        <w:rPr>
          <w:rFonts w:hint="eastAsia" w:eastAsia="宋体"/>
          <w:i/>
          <w:iCs/>
          <w:szCs w:val="20"/>
        </w:rPr>
        <w:t xml:space="preserve"> bit value could be: 1- support full rated power</w:t>
      </w:r>
      <w:r>
        <w:rPr>
          <w:rFonts w:eastAsia="宋体"/>
          <w:i/>
          <w:iCs/>
          <w:szCs w:val="20"/>
        </w:rPr>
        <w:t>;</w:t>
      </w:r>
      <w:r>
        <w:rPr>
          <w:rFonts w:hint="eastAsia" w:eastAsia="宋体"/>
          <w:i/>
          <w:iCs/>
          <w:szCs w:val="20"/>
        </w:rPr>
        <w:t xml:space="preserve"> 0- not support full rated power.</w:t>
      </w:r>
    </w:p>
    <w:p>
      <w:pPr>
        <w:numPr>
          <w:ilvl w:val="0"/>
          <w:numId w:val="5"/>
        </w:numPr>
        <w:overflowPunct w:val="0"/>
        <w:autoSpaceDE w:val="0"/>
        <w:autoSpaceDN w:val="0"/>
        <w:adjustRightInd w:val="0"/>
        <w:snapToGrid w:val="0"/>
        <w:spacing w:before="180" w:beforeLines="50" w:after="120" w:line="300" w:lineRule="auto"/>
        <w:ind w:hanging="357"/>
        <w:jc w:val="both"/>
        <w:textAlignment w:val="baseline"/>
        <w:rPr>
          <w:rFonts w:eastAsia="宋体"/>
          <w:i/>
          <w:iCs/>
          <w:szCs w:val="20"/>
        </w:rPr>
      </w:pPr>
      <w:r>
        <w:rPr>
          <w:rFonts w:eastAsia="宋体"/>
          <w:i/>
          <w:iCs/>
          <w:szCs w:val="20"/>
        </w:rPr>
        <w:t xml:space="preserve">Note that </w:t>
      </w:r>
      <w:r>
        <w:rPr>
          <w:rFonts w:hint="eastAsia" w:eastAsia="宋体"/>
          <w:i/>
          <w:iCs/>
          <w:szCs w:val="20"/>
        </w:rPr>
        <w:t xml:space="preserve">11 bits are enough for both non-coherent and partial-coherent 4 port UE. </w:t>
      </w:r>
    </w:p>
    <w:p>
      <w:pPr>
        <w:overflowPunct w:val="0"/>
        <w:autoSpaceDE w:val="0"/>
        <w:autoSpaceDN w:val="0"/>
        <w:adjustRightInd w:val="0"/>
        <w:snapToGrid w:val="0"/>
        <w:spacing w:before="180" w:beforeLines="50" w:after="120" w:line="300" w:lineRule="auto"/>
        <w:jc w:val="both"/>
        <w:textAlignment w:val="baseline"/>
        <w:rPr>
          <w:rFonts w:eastAsia="宋体"/>
        </w:rPr>
      </w:pPr>
      <w:r>
        <w:rPr>
          <w:rFonts w:eastAsia="宋体"/>
          <w:i w:val="0"/>
          <w:iCs/>
        </w:rPr>
        <w:t>Besides,</w:t>
      </w:r>
      <w:r>
        <w:rPr>
          <w:rFonts w:eastAsia="宋体"/>
          <w:i/>
          <w:iCs/>
        </w:rPr>
        <w:t xml:space="preserve"> </w:t>
      </w:r>
      <w:r>
        <w:rPr>
          <w:rFonts w:eastAsia="宋体"/>
        </w:rPr>
        <w:t>when</w:t>
      </w:r>
      <w:r>
        <w:rPr>
          <w:rFonts w:hint="eastAsia" w:eastAsia="宋体"/>
        </w:rPr>
        <w:t xml:space="preserve"> a UE with 4 antenna ports also supports 2 virtualized antenna port implementation, the UE should additionally </w:t>
      </w:r>
      <w:r>
        <w:rPr>
          <w:rFonts w:eastAsia="宋体"/>
        </w:rPr>
        <w:t>indicate</w:t>
      </w:r>
      <w:r>
        <w:rPr>
          <w:rFonts w:hint="eastAsia" w:eastAsia="宋体"/>
        </w:rPr>
        <w:t xml:space="preserve"> </w:t>
      </w:r>
      <w:r>
        <w:rPr>
          <w:rFonts w:eastAsia="宋体"/>
        </w:rPr>
        <w:t>its full Tx</w:t>
      </w:r>
      <w:r>
        <w:rPr>
          <w:rFonts w:hint="eastAsia" w:eastAsia="宋体"/>
        </w:rPr>
        <w:t xml:space="preserve"> power capability for 2-port TPMIs. </w:t>
      </w:r>
    </w:p>
    <w:p>
      <w:pPr>
        <w:pStyle w:val="4"/>
        <w:numPr>
          <w:ilvl w:val="2"/>
          <w:numId w:val="1"/>
        </w:numPr>
        <w:snapToGrid w:val="0"/>
        <w:spacing w:before="180" w:beforeLines="50" w:beforeAutospacing="0" w:after="180" w:afterLines="50" w:afterAutospacing="0" w:line="240" w:lineRule="auto"/>
        <w:rPr>
          <w:sz w:val="22"/>
          <w:szCs w:val="22"/>
          <w:lang w:val="en-US"/>
        </w:rPr>
      </w:pPr>
      <w:r>
        <w:rPr>
          <w:lang w:val="en-US"/>
        </w:rPr>
        <w:t xml:space="preserve"> </w:t>
      </w:r>
      <w:r>
        <w:rPr>
          <w:sz w:val="22"/>
          <w:szCs w:val="22"/>
          <w:lang w:val="en-US"/>
        </w:rPr>
        <w:t>S</w:t>
      </w:r>
      <w:r>
        <w:rPr>
          <w:rFonts w:hint="eastAsia"/>
          <w:sz w:val="22"/>
          <w:szCs w:val="22"/>
          <w:lang w:val="en-US"/>
        </w:rPr>
        <w:t>cheme to indicate SRI and TPMI and number of layers from gNB to UE</w:t>
      </w:r>
    </w:p>
    <w:p>
      <w:pPr>
        <w:overflowPunct w:val="0"/>
        <w:autoSpaceDE w:val="0"/>
        <w:autoSpaceDN w:val="0"/>
        <w:adjustRightInd w:val="0"/>
        <w:snapToGrid w:val="0"/>
        <w:spacing w:before="180" w:beforeLines="50" w:after="120" w:line="300" w:lineRule="auto"/>
        <w:jc w:val="both"/>
        <w:textAlignment w:val="baseline"/>
        <w:rPr>
          <w:rFonts w:eastAsia="宋体"/>
          <w:szCs w:val="20"/>
        </w:rPr>
      </w:pPr>
      <w:r>
        <w:rPr>
          <w:rFonts w:hint="eastAsia" w:eastAsia="宋体"/>
        </w:rPr>
        <w:t xml:space="preserve">It has been agreed that </w:t>
      </w:r>
      <w:r>
        <w:rPr>
          <w:rFonts w:eastAsia="宋体"/>
        </w:rPr>
        <w:t xml:space="preserve">up to </w:t>
      </w:r>
      <w:r>
        <w:rPr>
          <w:rFonts w:hint="eastAsia" w:eastAsia="宋体"/>
        </w:rPr>
        <w:t xml:space="preserve">4 SRS resources </w:t>
      </w:r>
      <w:r>
        <w:rPr>
          <w:rFonts w:eastAsia="宋体"/>
        </w:rPr>
        <w:t xml:space="preserve">should be </w:t>
      </w:r>
      <w:r>
        <w:rPr>
          <w:rFonts w:hint="eastAsia" w:eastAsia="宋体"/>
        </w:rPr>
        <w:t xml:space="preserve">supported in mode 2 for usage set to </w:t>
      </w:r>
      <w:r>
        <w:rPr>
          <w:rFonts w:eastAsia="宋体"/>
        </w:rPr>
        <w:t>‘</w:t>
      </w:r>
      <w:r>
        <w:rPr>
          <w:rFonts w:hint="eastAsia" w:eastAsia="宋体"/>
        </w:rPr>
        <w:t>codebook</w:t>
      </w:r>
      <w:r>
        <w:rPr>
          <w:rFonts w:eastAsia="宋体"/>
        </w:rPr>
        <w:t>’</w:t>
      </w:r>
      <w:r>
        <w:rPr>
          <w:rFonts w:hint="eastAsia" w:eastAsia="宋体"/>
        </w:rPr>
        <w:t xml:space="preserve"> in a SRS resource set. The size </w:t>
      </w:r>
      <w:r>
        <w:rPr>
          <w:rFonts w:hint="eastAsia" w:eastAsia="微软雅黑"/>
          <w:szCs w:val="20"/>
        </w:rPr>
        <w:t>of</w:t>
      </w:r>
      <w:r>
        <w:rPr>
          <w:rFonts w:hint="eastAsia" w:eastAsia="宋体"/>
        </w:rPr>
        <w:t xml:space="preserve"> SRI field in DCI for codebook based PUSCH which depends on higher layer parameters is at most 2 bits which indicates one of at most 4 SRS resources in one SRS resource set.</w:t>
      </w:r>
    </w:p>
    <w:p>
      <w:pPr>
        <w:overflowPunct w:val="0"/>
        <w:autoSpaceDE w:val="0"/>
        <w:autoSpaceDN w:val="0"/>
        <w:adjustRightInd w:val="0"/>
        <w:snapToGrid w:val="0"/>
        <w:spacing w:before="180" w:beforeLines="50" w:after="120" w:line="300" w:lineRule="auto"/>
        <w:jc w:val="both"/>
        <w:textAlignment w:val="baseline"/>
      </w:pPr>
      <w:r>
        <w:t xml:space="preserve">Regarding the DCI field of precoding information and number of layers, the required number of bits depends on number of SRS ports and </w:t>
      </w:r>
      <w:r>
        <w:rPr>
          <w:rFonts w:eastAsia="微软雅黑"/>
          <w:szCs w:val="20"/>
        </w:rPr>
        <w:t>maximum</w:t>
      </w:r>
      <w:r>
        <w:t xml:space="preserve"> number of layers the UE can support. </w:t>
      </w:r>
      <w:r>
        <w:rPr>
          <w:rFonts w:hint="eastAsia"/>
        </w:rPr>
        <w:t>For 1 port, there is no</w:t>
      </w:r>
      <w:r>
        <w:t xml:space="preserve"> </w:t>
      </w:r>
      <w:r>
        <w:rPr>
          <w:rFonts w:hint="eastAsia"/>
        </w:rPr>
        <w:t xml:space="preserve">precoding information and number of layers field. For 2 port and 4 ports, the size of precoding information and number of layers field depends on the maximum of layers UE supports. </w:t>
      </w:r>
    </w:p>
    <w:p>
      <w:pPr>
        <w:overflowPunct w:val="0"/>
        <w:autoSpaceDE w:val="0"/>
        <w:autoSpaceDN w:val="0"/>
        <w:adjustRightInd w:val="0"/>
        <w:snapToGrid w:val="0"/>
        <w:spacing w:before="180" w:beforeLines="50" w:after="120" w:line="300" w:lineRule="auto"/>
        <w:jc w:val="both"/>
        <w:textAlignment w:val="baseline"/>
        <w:rPr>
          <w:rFonts w:eastAsiaTheme="minorEastAsia"/>
        </w:rPr>
      </w:pPr>
      <w:r>
        <w:rPr>
          <w:rFonts w:hint="eastAsia"/>
        </w:rPr>
        <w:t>But in mode 2 the number of port</w:t>
      </w:r>
      <w:r>
        <w:t>s</w:t>
      </w:r>
      <w:r>
        <w:rPr>
          <w:rFonts w:hint="eastAsia"/>
        </w:rPr>
        <w:t xml:space="preserve"> is indicated through SRI in DCI, it is not proper to determine the size of one field in DCI </w:t>
      </w:r>
      <w:r>
        <w:rPr>
          <w:rFonts w:hint="eastAsia" w:eastAsia="微软雅黑"/>
          <w:szCs w:val="20"/>
        </w:rPr>
        <w:t>depending</w:t>
      </w:r>
      <w:r>
        <w:rPr>
          <w:rFonts w:hint="eastAsia"/>
        </w:rPr>
        <w:t xml:space="preserve"> on another field in the same DCI.</w:t>
      </w:r>
      <w:r>
        <w:t xml:space="preserve"> The straightforward extension is to determine the size of </w:t>
      </w:r>
      <w:r>
        <w:rPr>
          <w:rFonts w:hint="eastAsia"/>
          <w:iCs/>
        </w:rPr>
        <w:t>precoding information and number of layers field in DCI</w:t>
      </w:r>
      <w:r>
        <w:t xml:space="preserve"> based on </w:t>
      </w:r>
      <w:r>
        <w:rPr>
          <w:rFonts w:hint="eastAsia"/>
          <w:iCs/>
        </w:rPr>
        <w:t>the maximum number of ports among the SRS resources in one SRS resource set with usage of codebook.</w:t>
      </w:r>
      <w:r>
        <w:rPr>
          <w:rFonts w:hint="eastAsia" w:eastAsiaTheme="minorEastAsia"/>
        </w:rPr>
        <w:t xml:space="preserve"> </w:t>
      </w:r>
    </w:p>
    <w:p>
      <w:pPr>
        <w:overflowPunct w:val="0"/>
        <w:autoSpaceDE w:val="0"/>
        <w:autoSpaceDN w:val="0"/>
        <w:adjustRightInd w:val="0"/>
        <w:snapToGrid w:val="0"/>
        <w:spacing w:before="180" w:beforeLines="50" w:after="120" w:line="300" w:lineRule="auto"/>
        <w:jc w:val="both"/>
        <w:textAlignment w:val="baseline"/>
        <w:rPr>
          <w:rFonts w:eastAsiaTheme="minorEastAsia"/>
          <w:i/>
          <w:iCs/>
        </w:rPr>
      </w:pPr>
      <w:r>
        <w:rPr>
          <w:rFonts w:hint="eastAsia" w:eastAsia="宋体"/>
          <w:b/>
          <w:bCs/>
          <w:i/>
          <w:iCs/>
        </w:rPr>
        <w:t xml:space="preserve">Proposal </w:t>
      </w:r>
      <w:r>
        <w:rPr>
          <w:rFonts w:eastAsia="宋体"/>
          <w:b/>
          <w:bCs/>
          <w:i/>
          <w:iCs/>
        </w:rPr>
        <w:t>4</w:t>
      </w:r>
      <w:r>
        <w:rPr>
          <w:rFonts w:hint="eastAsia"/>
          <w:b/>
          <w:bCs/>
          <w:i/>
          <w:iCs/>
        </w:rPr>
        <w:t>:</w:t>
      </w:r>
      <w:r>
        <w:rPr>
          <w:rFonts w:hint="eastAsia"/>
          <w:i/>
          <w:iCs/>
        </w:rPr>
        <w:t xml:space="preserve"> </w:t>
      </w:r>
      <w:r>
        <w:rPr>
          <w:rFonts w:hint="eastAsia" w:eastAsia="宋体"/>
          <w:i/>
          <w:iCs/>
        </w:rPr>
        <w:t>T</w:t>
      </w:r>
      <w:r>
        <w:rPr>
          <w:i/>
        </w:rPr>
        <w:t xml:space="preserve">he size of </w:t>
      </w:r>
      <w:r>
        <w:rPr>
          <w:rFonts w:hint="eastAsia"/>
          <w:i/>
          <w:iCs/>
        </w:rPr>
        <w:t>precoding information and number of layers field in DCI</w:t>
      </w:r>
      <w:r>
        <w:rPr>
          <w:i/>
        </w:rPr>
        <w:t xml:space="preserve"> is determined based on </w:t>
      </w:r>
      <w:r>
        <w:rPr>
          <w:rFonts w:hint="eastAsia"/>
          <w:i/>
          <w:iCs/>
        </w:rPr>
        <w:t xml:space="preserve">the maximum number of ports among </w:t>
      </w:r>
      <w:r>
        <w:rPr>
          <w:rFonts w:hint="eastAsia" w:eastAsia="宋体"/>
          <w:i/>
          <w:iCs/>
        </w:rPr>
        <w:t>the</w:t>
      </w:r>
      <w:r>
        <w:rPr>
          <w:rFonts w:hint="eastAsia"/>
          <w:i/>
          <w:iCs/>
        </w:rPr>
        <w:t xml:space="preserve"> SRS resources in </w:t>
      </w:r>
      <w:r>
        <w:rPr>
          <w:i/>
          <w:iCs/>
        </w:rPr>
        <w:t>the</w:t>
      </w:r>
      <w:r>
        <w:rPr>
          <w:rFonts w:hint="eastAsia"/>
          <w:i/>
          <w:iCs/>
        </w:rPr>
        <w:t xml:space="preserve"> SRS resource set with usage of codebook</w:t>
      </w:r>
      <w:r>
        <w:rPr>
          <w:i/>
          <w:iCs/>
        </w:rPr>
        <w:t>.</w:t>
      </w:r>
    </w:p>
    <w:p>
      <w:pPr>
        <w:pStyle w:val="2"/>
        <w:keepNext/>
        <w:tabs>
          <w:tab w:val="left" w:pos="3686"/>
          <w:tab w:val="left" w:pos="4536"/>
        </w:tabs>
        <w:snapToGrid w:val="0"/>
        <w:spacing w:before="180" w:beforeLines="50" w:beforeAutospacing="0" w:after="0" w:afterAutospacing="0" w:line="240" w:lineRule="auto"/>
        <w:textAlignment w:val="baseline"/>
        <w:rPr>
          <w:rFonts w:eastAsia="Arial Unicode MS"/>
          <w:sz w:val="28"/>
          <w:szCs w:val="28"/>
          <w:lang w:val="en-US"/>
        </w:rPr>
      </w:pPr>
      <w:r>
        <w:rPr>
          <w:rFonts w:eastAsia="Arial Unicode MS"/>
          <w:sz w:val="28"/>
          <w:szCs w:val="28"/>
          <w:lang w:val="en-US"/>
        </w:rPr>
        <w:t>Conclusions</w:t>
      </w:r>
    </w:p>
    <w:p>
      <w:pPr>
        <w:overflowPunct w:val="0"/>
        <w:autoSpaceDE w:val="0"/>
        <w:autoSpaceDN w:val="0"/>
        <w:adjustRightInd w:val="0"/>
        <w:snapToGrid w:val="0"/>
        <w:spacing w:before="180" w:beforeLines="50" w:after="120" w:line="300" w:lineRule="auto"/>
        <w:jc w:val="both"/>
        <w:textAlignment w:val="baseline"/>
        <w:rPr>
          <w:szCs w:val="20"/>
        </w:rPr>
      </w:pPr>
      <w:r>
        <w:rPr>
          <w:szCs w:val="20"/>
        </w:rPr>
        <w:t xml:space="preserve">In this contribution, we analyzed the </w:t>
      </w:r>
      <w:r>
        <w:rPr>
          <w:rFonts w:hint="eastAsia"/>
          <w:szCs w:val="20"/>
        </w:rPr>
        <w:t>full power scheme for</w:t>
      </w:r>
      <w:r>
        <w:rPr>
          <w:szCs w:val="20"/>
        </w:rPr>
        <w:t xml:space="preserve"> NR </w:t>
      </w:r>
      <w:r>
        <w:rPr>
          <w:rFonts w:hint="eastAsia"/>
          <w:szCs w:val="20"/>
        </w:rPr>
        <w:t xml:space="preserve">Rel-16 </w:t>
      </w:r>
      <w:r>
        <w:rPr>
          <w:szCs w:val="20"/>
        </w:rPr>
        <w:t>power control</w:t>
      </w:r>
      <w:r>
        <w:rPr>
          <w:rFonts w:hint="eastAsia"/>
          <w:szCs w:val="20"/>
        </w:rPr>
        <w:t xml:space="preserve"> and provide </w:t>
      </w:r>
      <w:r>
        <w:rPr>
          <w:rFonts w:hint="eastAsia" w:eastAsia="宋体"/>
          <w:szCs w:val="20"/>
        </w:rPr>
        <w:t xml:space="preserve">observation and </w:t>
      </w:r>
      <w:r>
        <w:rPr>
          <w:rFonts w:hint="eastAsia"/>
          <w:szCs w:val="20"/>
        </w:rPr>
        <w:t>proposal</w:t>
      </w:r>
      <w:r>
        <w:rPr>
          <w:szCs w:val="20"/>
        </w:rPr>
        <w:t>s</w:t>
      </w:r>
      <w:r>
        <w:rPr>
          <w:rFonts w:hint="eastAsia"/>
          <w:szCs w:val="20"/>
        </w:rPr>
        <w:t xml:space="preserve"> as follows.</w:t>
      </w:r>
    </w:p>
    <w:p>
      <w:pPr>
        <w:overflowPunct w:val="0"/>
        <w:autoSpaceDE w:val="0"/>
        <w:autoSpaceDN w:val="0"/>
        <w:adjustRightInd w:val="0"/>
        <w:snapToGrid w:val="0"/>
        <w:spacing w:before="180" w:beforeLines="50" w:after="120" w:line="300" w:lineRule="auto"/>
        <w:jc w:val="both"/>
        <w:textAlignment w:val="baseline"/>
        <w:rPr>
          <w:rFonts w:eastAsia="宋体"/>
          <w:i/>
          <w:iCs/>
          <w:szCs w:val="20"/>
        </w:rPr>
      </w:pPr>
      <w:r>
        <w:rPr>
          <w:rFonts w:hint="eastAsia" w:eastAsia="宋体"/>
          <w:b/>
          <w:bCs/>
          <w:i/>
          <w:iCs/>
          <w:szCs w:val="20"/>
        </w:rPr>
        <w:t xml:space="preserve">Proposal 1: </w:t>
      </w:r>
      <w:r>
        <w:rPr>
          <w:rFonts w:hint="eastAsia" w:eastAsia="宋体"/>
          <w:i/>
          <w:iCs/>
          <w:szCs w:val="20"/>
        </w:rPr>
        <w:t>For partial-coherent UE with DFT-s-OFDM in mode 1, 4TX Rank 1, TPMI 16, 17,</w:t>
      </w:r>
      <w:r>
        <w:rPr>
          <w:rFonts w:eastAsia="宋体"/>
          <w:i/>
          <w:iCs/>
          <w:szCs w:val="20"/>
        </w:rPr>
        <w:t xml:space="preserve"> 18, </w:t>
      </w:r>
      <w:r>
        <w:rPr>
          <w:rFonts w:hint="eastAsia" w:eastAsia="宋体"/>
          <w:i/>
          <w:iCs/>
          <w:szCs w:val="20"/>
        </w:rPr>
        <w:t>19 should be allowed.</w:t>
      </w:r>
    </w:p>
    <w:p>
      <w:pPr>
        <w:numPr>
          <w:ilvl w:val="0"/>
          <w:numId w:val="5"/>
        </w:numPr>
        <w:overflowPunct w:val="0"/>
        <w:autoSpaceDE w:val="0"/>
        <w:autoSpaceDN w:val="0"/>
        <w:adjustRightInd w:val="0"/>
        <w:snapToGrid w:val="0"/>
        <w:spacing w:before="90" w:beforeLines="25" w:after="120" w:line="300" w:lineRule="auto"/>
        <w:ind w:hanging="357"/>
        <w:jc w:val="both"/>
        <w:textAlignment w:val="baseline"/>
        <w:rPr>
          <w:rFonts w:eastAsia="宋体"/>
          <w:i/>
          <w:iCs/>
          <w:szCs w:val="20"/>
        </w:rPr>
      </w:pPr>
      <w:r>
        <w:rPr>
          <w:rFonts w:hint="eastAsia" w:eastAsia="宋体"/>
          <w:i/>
          <w:iCs/>
          <w:szCs w:val="20"/>
        </w:rPr>
        <w:t>No need to</w:t>
      </w:r>
      <w:r>
        <w:rPr>
          <w:rFonts w:eastAsia="宋体"/>
          <w:i/>
          <w:iCs/>
          <w:szCs w:val="20"/>
        </w:rPr>
        <w:t xml:space="preserve"> further clarify </w:t>
      </w:r>
      <w:r>
        <w:rPr>
          <w:rFonts w:eastAsia="宋体"/>
          <w:i/>
          <w:iCs/>
          <w:szCs w:val="20"/>
          <w:lang w:val="fr-FR"/>
        </w:rPr>
        <w:t>which port</w:t>
      </w:r>
      <w:r>
        <w:rPr>
          <w:rFonts w:eastAsia="Malgun Gothic"/>
          <w:i/>
          <w:iCs/>
          <w:szCs w:val="20"/>
          <w:lang w:val="fr-FR"/>
        </w:rPr>
        <w:t xml:space="preserve"> pairs are coherent in RAN1 spec</w:t>
      </w:r>
      <w:r>
        <w:rPr>
          <w:rFonts w:hint="eastAsia" w:eastAsia="Malgun Gothic"/>
          <w:i/>
          <w:iCs/>
          <w:szCs w:val="20"/>
        </w:rPr>
        <w:t>.</w:t>
      </w:r>
    </w:p>
    <w:p>
      <w:pPr>
        <w:overflowPunct w:val="0"/>
        <w:autoSpaceDE w:val="0"/>
        <w:autoSpaceDN w:val="0"/>
        <w:adjustRightInd w:val="0"/>
        <w:snapToGrid w:val="0"/>
        <w:spacing w:before="180" w:beforeLines="50" w:after="120" w:line="300" w:lineRule="auto"/>
        <w:jc w:val="both"/>
        <w:textAlignment w:val="baseline"/>
        <w:rPr>
          <w:rFonts w:eastAsia="宋体"/>
          <w:i/>
          <w:iCs/>
        </w:rPr>
      </w:pPr>
      <w:r>
        <w:rPr>
          <w:rFonts w:hint="eastAsia" w:eastAsia="宋体"/>
          <w:b/>
          <w:bCs/>
          <w:i/>
          <w:iCs/>
        </w:rPr>
        <w:t>Proposal 2:</w:t>
      </w:r>
      <w:r>
        <w:rPr>
          <w:rFonts w:hint="eastAsia" w:eastAsia="宋体"/>
          <w:i/>
          <w:iCs/>
        </w:rPr>
        <w:t xml:space="preserve"> To reflect the random</w:t>
      </w:r>
      <w:r>
        <w:rPr>
          <w:rFonts w:eastAsia="宋体"/>
          <w:i/>
          <w:iCs/>
        </w:rPr>
        <w:t>/uncontrolled</w:t>
      </w:r>
      <w:r>
        <w:rPr>
          <w:rFonts w:hint="eastAsia" w:eastAsia="宋体"/>
          <w:i/>
          <w:iCs/>
        </w:rPr>
        <w:t xml:space="preserve"> </w:t>
      </w:r>
      <w:r>
        <w:rPr>
          <w:rFonts w:eastAsia="宋体"/>
          <w:i/>
          <w:iCs/>
        </w:rPr>
        <w:t xml:space="preserve">relative </w:t>
      </w:r>
      <w:r>
        <w:rPr>
          <w:rFonts w:hint="eastAsia" w:eastAsia="宋体"/>
          <w:i/>
          <w:iCs/>
        </w:rPr>
        <w:t>phase</w:t>
      </w:r>
      <w:r>
        <w:rPr>
          <w:rFonts w:eastAsia="宋体"/>
          <w:i/>
          <w:iCs/>
        </w:rPr>
        <w:t>(s)</w:t>
      </w:r>
      <w:r>
        <w:rPr>
          <w:rFonts w:hint="eastAsia" w:eastAsia="宋体"/>
          <w:i/>
          <w:iCs/>
        </w:rPr>
        <w:t xml:space="preserve"> between </w:t>
      </w:r>
      <w:r>
        <w:rPr>
          <w:rFonts w:hint="eastAsia" w:eastAsia="宋体"/>
          <w:i/>
          <w:iCs/>
          <w:szCs w:val="20"/>
        </w:rPr>
        <w:t xml:space="preserve">TX ports for non-coherent and partial-coherent UE, </w:t>
      </w:r>
      <w:r>
        <w:rPr>
          <w:rFonts w:hint="eastAsia" w:eastAsia="宋体"/>
          <w:i/>
          <w:iCs/>
        </w:rPr>
        <w:t>downselect one from the following options:</w:t>
      </w:r>
    </w:p>
    <w:p>
      <w:pPr>
        <w:numPr>
          <w:ilvl w:val="0"/>
          <w:numId w:val="5"/>
        </w:numPr>
        <w:overflowPunct w:val="0"/>
        <w:autoSpaceDE w:val="0"/>
        <w:autoSpaceDN w:val="0"/>
        <w:adjustRightInd w:val="0"/>
        <w:snapToGrid w:val="0"/>
        <w:spacing w:before="180" w:beforeLines="50" w:after="120" w:line="300" w:lineRule="auto"/>
        <w:ind w:hanging="357"/>
        <w:jc w:val="both"/>
        <w:textAlignment w:val="baseline"/>
        <w:rPr>
          <w:rFonts w:eastAsia="宋体"/>
          <w:i/>
          <w:iCs/>
          <w:szCs w:val="20"/>
        </w:rPr>
      </w:pPr>
      <w:r>
        <w:rPr>
          <w:rFonts w:hint="eastAsia" w:eastAsia="宋体"/>
          <w:i/>
          <w:iCs/>
          <w:szCs w:val="20"/>
        </w:rPr>
        <w:t xml:space="preserve">Option 1: Specify </w:t>
      </w:r>
      <w:r>
        <w:rPr>
          <w:rFonts w:eastAsia="宋体"/>
          <w:i/>
          <w:iCs/>
          <w:szCs w:val="20"/>
        </w:rPr>
        <w:t xml:space="preserve">the </w:t>
      </w:r>
      <w:r>
        <w:rPr>
          <w:rFonts w:hint="eastAsia" w:eastAsia="宋体"/>
          <w:i/>
          <w:iCs/>
          <w:szCs w:val="20"/>
        </w:rPr>
        <w:t xml:space="preserve">precoding matrices for new TPMI(s) as shown in </w:t>
      </w:r>
      <w:r>
        <w:rPr>
          <w:rFonts w:eastAsia="宋体"/>
          <w:i/>
          <w:iCs/>
          <w:szCs w:val="20"/>
        </w:rPr>
        <w:t>T</w:t>
      </w:r>
      <w:r>
        <w:rPr>
          <w:rFonts w:hint="eastAsia" w:eastAsia="宋体"/>
          <w:i/>
          <w:iCs/>
          <w:szCs w:val="20"/>
        </w:rPr>
        <w:t>able 1</w:t>
      </w:r>
      <w:r>
        <w:rPr>
          <w:rFonts w:eastAsia="宋体"/>
          <w:i/>
          <w:iCs/>
          <w:szCs w:val="20"/>
        </w:rPr>
        <w:t xml:space="preserve"> in RAN1</w:t>
      </w:r>
      <w:r>
        <w:rPr>
          <w:rFonts w:hint="eastAsia" w:eastAsia="宋体"/>
          <w:i/>
          <w:iCs/>
          <w:szCs w:val="20"/>
        </w:rPr>
        <w:t>.</w:t>
      </w:r>
    </w:p>
    <w:p>
      <w:pPr>
        <w:numPr>
          <w:ilvl w:val="0"/>
          <w:numId w:val="5"/>
        </w:numPr>
        <w:overflowPunct w:val="0"/>
        <w:autoSpaceDE w:val="0"/>
        <w:autoSpaceDN w:val="0"/>
        <w:adjustRightInd w:val="0"/>
        <w:snapToGrid w:val="0"/>
        <w:spacing w:before="180" w:beforeLines="50" w:after="120" w:line="300" w:lineRule="auto"/>
        <w:ind w:hanging="357"/>
        <w:jc w:val="both"/>
        <w:textAlignment w:val="baseline"/>
        <w:rPr>
          <w:rFonts w:eastAsia="宋体"/>
          <w:i/>
          <w:iCs/>
          <w:szCs w:val="20"/>
        </w:rPr>
      </w:pPr>
      <w:r>
        <w:rPr>
          <w:rFonts w:hint="eastAsia" w:eastAsia="宋体"/>
          <w:i/>
          <w:iCs/>
          <w:szCs w:val="20"/>
        </w:rPr>
        <w:t>Option 2: Specify the</w:t>
      </w:r>
      <w:r>
        <w:rPr>
          <w:rFonts w:eastAsia="宋体"/>
          <w:i/>
          <w:iCs/>
          <w:szCs w:val="20"/>
        </w:rPr>
        <w:t xml:space="preserve"> requirement of relative</w:t>
      </w:r>
      <w:r>
        <w:rPr>
          <w:rFonts w:hint="eastAsia" w:eastAsia="宋体"/>
          <w:i/>
          <w:iCs/>
          <w:szCs w:val="20"/>
        </w:rPr>
        <w:t xml:space="preserve"> phase</w:t>
      </w:r>
      <w:r>
        <w:rPr>
          <w:rFonts w:eastAsia="宋体"/>
          <w:i/>
          <w:iCs/>
          <w:szCs w:val="20"/>
        </w:rPr>
        <w:t>(s)</w:t>
      </w:r>
      <w:r>
        <w:rPr>
          <w:rFonts w:hint="eastAsia" w:eastAsia="宋体"/>
          <w:i/>
          <w:iCs/>
          <w:szCs w:val="20"/>
        </w:rPr>
        <w:t xml:space="preserve"> between</w:t>
      </w:r>
      <w:r>
        <w:rPr>
          <w:rFonts w:eastAsia="宋体"/>
          <w:i/>
          <w:iCs/>
          <w:szCs w:val="20"/>
        </w:rPr>
        <w:t xml:space="preserve"> non-coherent</w:t>
      </w:r>
      <w:r>
        <w:rPr>
          <w:rFonts w:hint="eastAsia" w:eastAsia="宋体"/>
          <w:i/>
          <w:iCs/>
          <w:szCs w:val="20"/>
        </w:rPr>
        <w:t xml:space="preserve"> TX ports </w:t>
      </w:r>
      <w:r>
        <w:rPr>
          <w:rFonts w:eastAsia="宋体"/>
          <w:i/>
          <w:iCs/>
          <w:szCs w:val="20"/>
        </w:rPr>
        <w:t>in RAN4</w:t>
      </w:r>
      <w:r>
        <w:rPr>
          <w:rFonts w:hint="eastAsia" w:eastAsia="宋体"/>
          <w:i/>
          <w:iCs/>
          <w:szCs w:val="20"/>
        </w:rPr>
        <w:t>.</w:t>
      </w:r>
      <w:r>
        <w:rPr>
          <w:rFonts w:eastAsia="宋体"/>
          <w:i/>
          <w:iCs/>
          <w:szCs w:val="20"/>
        </w:rPr>
        <w:t xml:space="preserve"> Send an LS to RAN4 on this.</w:t>
      </w:r>
    </w:p>
    <w:p>
      <w:pPr>
        <w:overflowPunct w:val="0"/>
        <w:autoSpaceDE w:val="0"/>
        <w:autoSpaceDN w:val="0"/>
        <w:adjustRightInd w:val="0"/>
        <w:snapToGrid w:val="0"/>
        <w:spacing w:before="180" w:beforeLines="50" w:after="120" w:line="300" w:lineRule="auto"/>
        <w:jc w:val="both"/>
        <w:textAlignment w:val="baseline"/>
        <w:rPr>
          <w:rFonts w:eastAsia="宋体"/>
          <w:i/>
          <w:iCs/>
        </w:rPr>
      </w:pPr>
      <w:r>
        <w:rPr>
          <w:rFonts w:hint="eastAsia" w:eastAsia="宋体"/>
          <w:b/>
          <w:bCs/>
          <w:i/>
          <w:iCs/>
        </w:rPr>
        <w:t>Proposal 3:</w:t>
      </w:r>
      <w:r>
        <w:rPr>
          <w:rFonts w:hint="eastAsia" w:eastAsia="宋体"/>
          <w:i/>
          <w:iCs/>
        </w:rPr>
        <w:t xml:space="preserve"> </w:t>
      </w:r>
      <w:r>
        <w:rPr>
          <w:rFonts w:eastAsia="宋体"/>
          <w:i/>
          <w:iCs/>
        </w:rPr>
        <w:t>For</w:t>
      </w:r>
      <w:r>
        <w:rPr>
          <w:rFonts w:hint="eastAsia" w:eastAsia="宋体"/>
          <w:i/>
          <w:iCs/>
        </w:rPr>
        <w:t xml:space="preserve"> report</w:t>
      </w:r>
      <w:r>
        <w:rPr>
          <w:rFonts w:eastAsia="宋体"/>
          <w:i/>
          <w:iCs/>
        </w:rPr>
        <w:t>ing</w:t>
      </w:r>
      <w:r>
        <w:rPr>
          <w:rFonts w:hint="eastAsia" w:eastAsia="宋体"/>
          <w:i/>
          <w:iCs/>
        </w:rPr>
        <w:t xml:space="preserve"> power capability for TPMI(s) in mode2 for 4 TX UE, </w:t>
      </w:r>
      <w:r>
        <w:rPr>
          <w:rFonts w:eastAsia="宋体"/>
          <w:i/>
          <w:iCs/>
        </w:rPr>
        <w:t>a b</w:t>
      </w:r>
      <w:r>
        <w:rPr>
          <w:rFonts w:hint="eastAsia" w:eastAsia="宋体"/>
          <w:i/>
          <w:iCs/>
        </w:rPr>
        <w:t xml:space="preserve">itmap </w:t>
      </w:r>
      <w:r>
        <w:rPr>
          <w:rFonts w:eastAsia="宋体"/>
          <w:i/>
          <w:iCs/>
        </w:rPr>
        <w:t xml:space="preserve">is used </w:t>
      </w:r>
      <w:r>
        <w:rPr>
          <w:rFonts w:hint="eastAsia" w:eastAsia="宋体"/>
          <w:i/>
          <w:iCs/>
        </w:rPr>
        <w:t xml:space="preserve">to report power capability, </w:t>
      </w:r>
      <w:r>
        <w:rPr>
          <w:rFonts w:eastAsia="宋体"/>
          <w:i/>
          <w:iCs/>
        </w:rPr>
        <w:t xml:space="preserve">and </w:t>
      </w:r>
      <w:r>
        <w:rPr>
          <w:rFonts w:hint="eastAsia" w:eastAsia="宋体"/>
          <w:i/>
          <w:iCs/>
        </w:rPr>
        <w:t>each bit correspond</w:t>
      </w:r>
      <w:r>
        <w:rPr>
          <w:rFonts w:eastAsia="宋体"/>
          <w:i/>
          <w:iCs/>
        </w:rPr>
        <w:t xml:space="preserve">s </w:t>
      </w:r>
      <w:r>
        <w:rPr>
          <w:rFonts w:hint="eastAsia" w:eastAsia="宋体"/>
          <w:i/>
          <w:iCs/>
        </w:rPr>
        <w:t>to a TPMI or a group of TPMIs</w:t>
      </w:r>
    </w:p>
    <w:p>
      <w:pPr>
        <w:numPr>
          <w:ilvl w:val="0"/>
          <w:numId w:val="5"/>
        </w:numPr>
        <w:overflowPunct w:val="0"/>
        <w:autoSpaceDE w:val="0"/>
        <w:autoSpaceDN w:val="0"/>
        <w:adjustRightInd w:val="0"/>
        <w:snapToGrid w:val="0"/>
        <w:spacing w:before="180" w:beforeLines="50" w:after="120" w:line="300" w:lineRule="auto"/>
        <w:ind w:hanging="357"/>
        <w:jc w:val="both"/>
        <w:textAlignment w:val="baseline"/>
        <w:rPr>
          <w:rFonts w:eastAsia="宋体"/>
          <w:i/>
          <w:iCs/>
          <w:szCs w:val="20"/>
        </w:rPr>
      </w:pPr>
      <w:r>
        <w:rPr>
          <w:rFonts w:eastAsia="宋体"/>
          <w:i/>
          <w:iCs/>
          <w:szCs w:val="20"/>
        </w:rPr>
        <w:t>The candidate</w:t>
      </w:r>
      <w:r>
        <w:rPr>
          <w:rFonts w:hint="eastAsia" w:eastAsia="宋体"/>
          <w:i/>
          <w:iCs/>
          <w:szCs w:val="20"/>
        </w:rPr>
        <w:t xml:space="preserve"> bit value could be: 1- support full rated power</w:t>
      </w:r>
      <w:r>
        <w:rPr>
          <w:rFonts w:eastAsia="宋体"/>
          <w:i/>
          <w:iCs/>
          <w:szCs w:val="20"/>
        </w:rPr>
        <w:t>;</w:t>
      </w:r>
      <w:r>
        <w:rPr>
          <w:rFonts w:hint="eastAsia" w:eastAsia="宋体"/>
          <w:i/>
          <w:iCs/>
          <w:szCs w:val="20"/>
        </w:rPr>
        <w:t xml:space="preserve"> 0- not support full rated power.</w:t>
      </w:r>
    </w:p>
    <w:p>
      <w:pPr>
        <w:numPr>
          <w:ilvl w:val="0"/>
          <w:numId w:val="5"/>
        </w:numPr>
        <w:overflowPunct w:val="0"/>
        <w:autoSpaceDE w:val="0"/>
        <w:autoSpaceDN w:val="0"/>
        <w:adjustRightInd w:val="0"/>
        <w:snapToGrid w:val="0"/>
        <w:spacing w:before="180" w:beforeLines="50" w:after="120" w:line="300" w:lineRule="auto"/>
        <w:ind w:hanging="357"/>
        <w:jc w:val="both"/>
        <w:textAlignment w:val="baseline"/>
        <w:rPr>
          <w:rFonts w:eastAsia="宋体"/>
          <w:i/>
          <w:iCs/>
          <w:szCs w:val="20"/>
        </w:rPr>
      </w:pPr>
      <w:r>
        <w:rPr>
          <w:rFonts w:eastAsia="宋体"/>
          <w:i/>
          <w:iCs/>
          <w:szCs w:val="20"/>
        </w:rPr>
        <w:t xml:space="preserve">Note that </w:t>
      </w:r>
      <w:r>
        <w:rPr>
          <w:rFonts w:hint="eastAsia" w:eastAsia="宋体"/>
          <w:i/>
          <w:iCs/>
          <w:szCs w:val="20"/>
        </w:rPr>
        <w:t xml:space="preserve">11 bits are enough for both non-coherent and partial-coherent 4 port UE. </w:t>
      </w:r>
    </w:p>
    <w:p>
      <w:pPr>
        <w:overflowPunct w:val="0"/>
        <w:autoSpaceDE w:val="0"/>
        <w:autoSpaceDN w:val="0"/>
        <w:adjustRightInd w:val="0"/>
        <w:snapToGrid w:val="0"/>
        <w:spacing w:before="180" w:beforeLines="50" w:after="120" w:line="300" w:lineRule="auto"/>
        <w:jc w:val="both"/>
        <w:textAlignment w:val="baseline"/>
        <w:rPr>
          <w:rFonts w:eastAsiaTheme="minorEastAsia"/>
          <w:i/>
          <w:iCs/>
        </w:rPr>
      </w:pPr>
      <w:r>
        <w:rPr>
          <w:rFonts w:hint="eastAsia" w:eastAsia="宋体"/>
          <w:b/>
          <w:bCs/>
          <w:i/>
          <w:iCs/>
        </w:rPr>
        <w:t xml:space="preserve">Proposal </w:t>
      </w:r>
      <w:r>
        <w:rPr>
          <w:rFonts w:eastAsia="宋体"/>
          <w:b/>
          <w:bCs/>
          <w:i/>
          <w:iCs/>
        </w:rPr>
        <w:t>4</w:t>
      </w:r>
      <w:r>
        <w:rPr>
          <w:rFonts w:hint="eastAsia"/>
          <w:b/>
          <w:bCs/>
          <w:i/>
          <w:iCs/>
        </w:rPr>
        <w:t>:</w:t>
      </w:r>
      <w:r>
        <w:rPr>
          <w:rFonts w:hint="eastAsia"/>
          <w:i/>
          <w:iCs/>
        </w:rPr>
        <w:t xml:space="preserve"> </w:t>
      </w:r>
      <w:r>
        <w:rPr>
          <w:rFonts w:hint="eastAsia" w:eastAsia="宋体"/>
          <w:i/>
          <w:iCs/>
        </w:rPr>
        <w:t>T</w:t>
      </w:r>
      <w:r>
        <w:rPr>
          <w:i/>
        </w:rPr>
        <w:t xml:space="preserve">he size of </w:t>
      </w:r>
      <w:r>
        <w:rPr>
          <w:rFonts w:hint="eastAsia"/>
          <w:i/>
          <w:iCs/>
        </w:rPr>
        <w:t>precoding information and number of layers field in DCI</w:t>
      </w:r>
      <w:r>
        <w:rPr>
          <w:i/>
        </w:rPr>
        <w:t xml:space="preserve"> is determined based on </w:t>
      </w:r>
      <w:r>
        <w:rPr>
          <w:rFonts w:hint="eastAsia"/>
          <w:i/>
          <w:iCs/>
        </w:rPr>
        <w:t xml:space="preserve">the maximum number of ports among </w:t>
      </w:r>
      <w:r>
        <w:rPr>
          <w:rFonts w:hint="eastAsia" w:eastAsia="宋体"/>
          <w:i/>
          <w:iCs/>
        </w:rPr>
        <w:t>the</w:t>
      </w:r>
      <w:r>
        <w:rPr>
          <w:rFonts w:hint="eastAsia"/>
          <w:i/>
          <w:iCs/>
        </w:rPr>
        <w:t xml:space="preserve"> SRS resources in </w:t>
      </w:r>
      <w:r>
        <w:rPr>
          <w:i/>
          <w:iCs/>
        </w:rPr>
        <w:t>the</w:t>
      </w:r>
      <w:r>
        <w:rPr>
          <w:rFonts w:hint="eastAsia"/>
          <w:i/>
          <w:iCs/>
        </w:rPr>
        <w:t xml:space="preserve"> SRS resource set with usage of codebook</w:t>
      </w:r>
      <w:r>
        <w:rPr>
          <w:i/>
          <w:iCs/>
        </w:rPr>
        <w:t>.</w:t>
      </w:r>
    </w:p>
    <w:p>
      <w:pPr>
        <w:pStyle w:val="2"/>
        <w:keepNext/>
        <w:tabs>
          <w:tab w:val="left" w:pos="3686"/>
          <w:tab w:val="left" w:pos="4536"/>
        </w:tabs>
        <w:snapToGrid w:val="0"/>
        <w:spacing w:before="180" w:beforeLines="50" w:beforeAutospacing="0" w:after="0" w:afterAutospacing="0" w:line="240" w:lineRule="auto"/>
        <w:textAlignment w:val="baseline"/>
        <w:rPr>
          <w:rFonts w:eastAsia="Arial Unicode MS"/>
          <w:sz w:val="28"/>
          <w:szCs w:val="28"/>
          <w:lang w:val="en-US"/>
        </w:rPr>
      </w:pPr>
      <w:r>
        <w:rPr>
          <w:rFonts w:eastAsia="Arial Unicode MS"/>
          <w:sz w:val="28"/>
          <w:szCs w:val="28"/>
          <w:lang w:val="en-US"/>
        </w:rPr>
        <w:t>References</w:t>
      </w:r>
      <w:bookmarkStart w:id="1" w:name="_Ref446506608"/>
      <w:bookmarkEnd w:id="1"/>
      <w:bookmarkStart w:id="2" w:name="_Ref446507216"/>
      <w:bookmarkEnd w:id="2"/>
      <w:bookmarkStart w:id="3" w:name="_Ref446511358"/>
      <w:bookmarkEnd w:id="3"/>
    </w:p>
    <w:p>
      <w:pPr>
        <w:numPr>
          <w:ilvl w:val="0"/>
          <w:numId w:val="9"/>
        </w:numPr>
        <w:snapToGrid w:val="0"/>
        <w:jc w:val="both"/>
        <w:rPr>
          <w:szCs w:val="20"/>
        </w:rPr>
      </w:pPr>
      <w:r>
        <w:rPr>
          <w:szCs w:val="20"/>
        </w:rPr>
        <w:t xml:space="preserve">Chairman’s note, 3GPP </w:t>
      </w:r>
      <w:r>
        <w:rPr>
          <w:rFonts w:hint="eastAsia"/>
          <w:szCs w:val="20"/>
        </w:rPr>
        <w:t>RAN1</w:t>
      </w:r>
      <w:r>
        <w:rPr>
          <w:szCs w:val="20"/>
        </w:rPr>
        <w:t>#9</w:t>
      </w:r>
      <w:r>
        <w:rPr>
          <w:rFonts w:hint="eastAsia" w:eastAsia="宋体"/>
          <w:szCs w:val="20"/>
        </w:rPr>
        <w:t>7</w:t>
      </w:r>
    </w:p>
    <w:p>
      <w:pPr>
        <w:numPr>
          <w:ilvl w:val="0"/>
          <w:numId w:val="9"/>
        </w:numPr>
        <w:snapToGrid w:val="0"/>
        <w:jc w:val="both"/>
        <w:rPr>
          <w:szCs w:val="20"/>
        </w:rPr>
      </w:pPr>
      <w:r>
        <w:rPr>
          <w:szCs w:val="20"/>
        </w:rPr>
        <w:t xml:space="preserve">Chairman’s note, 3GPP </w:t>
      </w:r>
      <w:r>
        <w:rPr>
          <w:rFonts w:hint="eastAsia"/>
          <w:szCs w:val="20"/>
        </w:rPr>
        <w:t>RAN1</w:t>
      </w:r>
      <w:r>
        <w:rPr>
          <w:szCs w:val="20"/>
        </w:rPr>
        <w:t>#9</w:t>
      </w:r>
      <w:r>
        <w:rPr>
          <w:rFonts w:hint="eastAsia" w:eastAsia="宋体"/>
          <w:szCs w:val="20"/>
        </w:rPr>
        <w:t>8</w:t>
      </w:r>
    </w:p>
    <w:p>
      <w:pPr>
        <w:numPr>
          <w:ilvl w:val="0"/>
          <w:numId w:val="9"/>
        </w:numPr>
        <w:snapToGrid w:val="0"/>
        <w:jc w:val="both"/>
        <w:rPr>
          <w:szCs w:val="20"/>
        </w:rPr>
      </w:pPr>
      <w:r>
        <w:rPr>
          <w:szCs w:val="20"/>
        </w:rPr>
        <w:t xml:space="preserve">Chairman’s note, 3GPP </w:t>
      </w:r>
      <w:r>
        <w:rPr>
          <w:rFonts w:hint="eastAsia"/>
          <w:szCs w:val="20"/>
        </w:rPr>
        <w:t>RAN1</w:t>
      </w:r>
      <w:r>
        <w:rPr>
          <w:szCs w:val="20"/>
        </w:rPr>
        <w:t>#9</w:t>
      </w:r>
      <w:r>
        <w:rPr>
          <w:rFonts w:hint="eastAsia" w:eastAsia="宋体"/>
          <w:szCs w:val="20"/>
        </w:rPr>
        <w:t>8bis</w:t>
      </w:r>
    </w:p>
    <w:p>
      <w:pPr>
        <w:snapToGrid w:val="0"/>
        <w:rPr>
          <w:rFonts w:eastAsia="宋体"/>
        </w:rPr>
      </w:pPr>
    </w:p>
    <w:p>
      <w:pPr>
        <w:pStyle w:val="2"/>
        <w:keepNext/>
        <w:numPr>
          <w:ilvl w:val="255"/>
          <w:numId w:val="0"/>
        </w:numPr>
        <w:tabs>
          <w:tab w:val="left" w:pos="3686"/>
          <w:tab w:val="left" w:pos="4536"/>
        </w:tabs>
        <w:snapToGrid w:val="0"/>
        <w:spacing w:before="180" w:beforeLines="50" w:beforeAutospacing="0" w:after="0" w:afterAutospacing="0" w:line="240" w:lineRule="auto"/>
        <w:textAlignment w:val="baseline"/>
        <w:rPr>
          <w:lang w:val="en-US"/>
        </w:rPr>
      </w:pPr>
      <w:r>
        <w:rPr>
          <w:rFonts w:eastAsia="Arial Unicode MS"/>
          <w:sz w:val="28"/>
          <w:szCs w:val="28"/>
          <w:lang w:val="en-US"/>
        </w:rPr>
        <w:t>Appendix</w:t>
      </w:r>
      <w:r>
        <w:rPr>
          <w:rFonts w:hint="eastAsia" w:eastAsia="Arial Unicode MS"/>
          <w:sz w:val="28"/>
          <w:szCs w:val="28"/>
          <w:lang w:val="en-US"/>
        </w:rPr>
        <w:t>:</w:t>
      </w:r>
      <w:r>
        <w:rPr>
          <w:rFonts w:eastAsia="Arial Unicode MS"/>
          <w:sz w:val="28"/>
          <w:szCs w:val="28"/>
          <w:lang w:val="en-US"/>
        </w:rPr>
        <w:t xml:space="preserve"> </w:t>
      </w:r>
      <w:r>
        <w:rPr>
          <w:lang w:val="en-US"/>
        </w:rPr>
        <w:t>RAN4 requirements on UL MIMO coherence</w:t>
      </w:r>
    </w:p>
    <w:p>
      <w:r>
        <w:t>The RAN4 requirements for UL MIMO coherence can be found in TS 38.101-1.</w:t>
      </w:r>
    </w:p>
    <w:p>
      <w:pPr>
        <w:pStyle w:val="4"/>
        <w:numPr>
          <w:ilvl w:val="255"/>
          <w:numId w:val="0"/>
        </w:numPr>
        <w:rPr>
          <w:lang w:val="en-US"/>
        </w:rPr>
      </w:pPr>
      <w:bookmarkStart w:id="4" w:name="_Toc526340361"/>
      <w:r>
        <w:rPr>
          <w:lang w:val="en-US"/>
        </w:rPr>
        <w:t>6.4D.4</w:t>
      </w:r>
      <w:r>
        <w:rPr>
          <w:lang w:val="en-US"/>
        </w:rPr>
        <w:tab/>
      </w:r>
      <w:r>
        <w:rPr>
          <w:lang w:val="en-US"/>
        </w:rPr>
        <w:t>Requirements for coherent UL MIMO</w:t>
      </w:r>
      <w:bookmarkEnd w:id="4"/>
    </w:p>
    <w:p>
      <w:pPr>
        <w:jc w:val="both"/>
      </w:pPr>
      <w:r>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Pr>
          <w:rFonts w:eastAsia="Malgun Gothic"/>
        </w:rPr>
        <w:t xml:space="preserve">. </w:t>
      </w:r>
      <w:r>
        <w:t>The requirements in Table 6.4D.4-1 apply when the UL transmission power at each antenna port is larger than 0 dBm</w:t>
      </w:r>
      <w:r>
        <w:rPr>
          <w:rFonts w:eastAsia="Malgun Gothic"/>
        </w:rPr>
        <w:t xml:space="preserve"> </w:t>
      </w:r>
      <w:r>
        <w:t>for SRS transmission and for the duration of time window.</w:t>
      </w:r>
    </w:p>
    <w:p>
      <w:pPr>
        <w:pStyle w:val="33"/>
      </w:pPr>
      <w:r>
        <w:t>Table 6.4D.4-1: Maximum allowable difference of relative phase and power errors in a given slot compared to those measured at last SRS transmitted</w:t>
      </w:r>
    </w:p>
    <w:tbl>
      <w:tblPr>
        <w:tblStyle w:val="27"/>
        <w:tblW w:w="8954" w:type="dxa"/>
        <w:jc w:val="center"/>
        <w:tblInd w:w="0" w:type="dxa"/>
        <w:tblLayout w:type="fixed"/>
        <w:tblCellMar>
          <w:top w:w="0" w:type="dxa"/>
          <w:left w:w="0" w:type="dxa"/>
          <w:bottom w:w="0" w:type="dxa"/>
          <w:right w:w="0" w:type="dxa"/>
        </w:tblCellMar>
      </w:tblPr>
      <w:tblGrid>
        <w:gridCol w:w="3217"/>
        <w:gridCol w:w="2985"/>
        <w:gridCol w:w="2752"/>
      </w:tblGrid>
      <w:tr>
        <w:tblPrEx>
          <w:tblLayout w:type="fixed"/>
          <w:tblCellMar>
            <w:top w:w="0" w:type="dxa"/>
            <w:left w:w="0" w:type="dxa"/>
            <w:bottom w:w="0" w:type="dxa"/>
            <w:right w:w="0" w:type="dxa"/>
          </w:tblCellMar>
        </w:tblPrEx>
        <w:trPr>
          <w:jc w:val="center"/>
        </w:trPr>
        <w:tc>
          <w:tcPr>
            <w:tcW w:w="3217"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39"/>
            </w:pPr>
            <w:r>
              <w:t>Difference of relative phase error</w:t>
            </w:r>
          </w:p>
        </w:tc>
        <w:tc>
          <w:tcPr>
            <w:tcW w:w="2985"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39"/>
            </w:pPr>
            <w:r>
              <w:t>Difference of relative power error</w:t>
            </w:r>
          </w:p>
        </w:tc>
        <w:tc>
          <w:tcPr>
            <w:tcW w:w="275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39"/>
            </w:pPr>
            <w:r>
              <w:t>Time window</w:t>
            </w:r>
          </w:p>
        </w:tc>
      </w:tr>
      <w:tr>
        <w:tblPrEx>
          <w:tblLayout w:type="fixed"/>
          <w:tblCellMar>
            <w:top w:w="0" w:type="dxa"/>
            <w:left w:w="0" w:type="dxa"/>
            <w:bottom w:w="0" w:type="dxa"/>
            <w:right w:w="0" w:type="dxa"/>
          </w:tblCellMar>
        </w:tblPrEx>
        <w:trPr>
          <w:jc w:val="center"/>
        </w:trPr>
        <w:tc>
          <w:tcPr>
            <w:tcW w:w="3217"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0"/>
            </w:pPr>
            <w:r>
              <w:t>40 degrees</w:t>
            </w:r>
          </w:p>
        </w:tc>
        <w:tc>
          <w:tcPr>
            <w:tcW w:w="2985"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0"/>
            </w:pPr>
            <w:r>
              <w:t>4 dB</w:t>
            </w:r>
          </w:p>
        </w:tc>
        <w:tc>
          <w:tcPr>
            <w:tcW w:w="2752"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0"/>
            </w:pPr>
            <w:r>
              <w:t>20 msec</w:t>
            </w:r>
          </w:p>
        </w:tc>
      </w:tr>
    </w:tbl>
    <w:p/>
    <w:p>
      <w:pPr>
        <w:jc w:val="both"/>
      </w:pPr>
      <w:r>
        <w:t>The above requirements when all the following conditions are met within the specified time window:</w:t>
      </w:r>
    </w:p>
    <w:p>
      <w:pPr>
        <w:jc w:val="both"/>
        <w:rPr>
          <w:rFonts w:eastAsia="Malgun Gothic"/>
        </w:rPr>
      </w:pPr>
      <w:r>
        <w:rPr>
          <w:rFonts w:eastAsia="Malgun Gothic"/>
        </w:rPr>
        <w:t>- UE is not signaled with a change in number of SRS ports in SRS-config, or a change in PUSCH-config</w:t>
      </w:r>
    </w:p>
    <w:p>
      <w:pPr>
        <w:jc w:val="both"/>
        <w:rPr>
          <w:rFonts w:eastAsia="Malgun Gothic"/>
        </w:rPr>
      </w:pPr>
      <w:r>
        <w:rPr>
          <w:rFonts w:eastAsia="Malgun Gothic"/>
        </w:rPr>
        <w:t>- UE remains in DRX active time (UE does not enter DRX OFF time)</w:t>
      </w:r>
    </w:p>
    <w:p>
      <w:pPr>
        <w:jc w:val="both"/>
        <w:rPr>
          <w:rFonts w:eastAsia="Malgun Gothic"/>
        </w:rPr>
      </w:pPr>
      <w:r>
        <w:rPr>
          <w:rFonts w:eastAsia="Malgun Gothic"/>
        </w:rPr>
        <w:t>- No measurement gap occurs</w:t>
      </w:r>
    </w:p>
    <w:p>
      <w:pPr>
        <w:jc w:val="both"/>
        <w:rPr>
          <w:rFonts w:eastAsia="Malgun Gothic"/>
        </w:rPr>
      </w:pPr>
      <w:r>
        <w:rPr>
          <w:rFonts w:eastAsia="Malgun Gothic"/>
        </w:rPr>
        <w:t>- No instance of SRS transmission with the usage antenna switching occurs</w:t>
      </w:r>
    </w:p>
    <w:p>
      <w:pPr>
        <w:jc w:val="both"/>
        <w:rPr>
          <w:rFonts w:eastAsia="Malgun Gothic"/>
        </w:rPr>
      </w:pPr>
      <w:r>
        <w:rPr>
          <w:rFonts w:eastAsia="Malgun Gothic"/>
        </w:rPr>
        <w:t>- Active BWP remains the same</w:t>
      </w:r>
    </w:p>
    <w:p>
      <w:pPr>
        <w:jc w:val="both"/>
      </w:pPr>
      <w:r>
        <w:rPr>
          <w:rFonts w:eastAsia="Malgun Gothic"/>
        </w:rPr>
        <w:t>- EN-DC and CA configuration is not changed for the UE (UE is not configured or de-configured with PScell or SCell(s))</w:t>
      </w:r>
    </w:p>
    <w:p>
      <w:pPr>
        <w:snapToGrid w:val="0"/>
        <w:rPr>
          <w:rFonts w:eastAsia="宋体"/>
        </w:rPr>
      </w:pPr>
    </w:p>
    <w:sectPr>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auto"/>
    <w:pitch w:val="default"/>
    <w:sig w:usb0="B00002AF" w:usb1="69D77CFB" w:usb2="00000030" w:usb3="00000000" w:csb0="4008009F" w:csb1="DFD70000"/>
  </w:font>
  <w:font w:name="MS PGothic">
    <w:panose1 w:val="020B0600070205080204"/>
    <w:charset w:val="80"/>
    <w:family w:val="swiss"/>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Malgun Gothic">
    <w:panose1 w:val="020B0503020000020004"/>
    <w:charset w:val="81"/>
    <w:family w:val="swiss"/>
    <w:pitch w:val="default"/>
    <w:sig w:usb0="900002AF" w:usb1="01D77CFB" w:usb2="00000012" w:usb3="00000000" w:csb0="00080001" w:csb1="0000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EBD51C"/>
    <w:multiLevelType w:val="singleLevel"/>
    <w:tmpl w:val="8AEBD51C"/>
    <w:lvl w:ilvl="0" w:tentative="0">
      <w:start w:val="1"/>
      <w:numFmt w:val="bullet"/>
      <w:lvlText w:val=""/>
      <w:lvlJc w:val="left"/>
      <w:pPr>
        <w:ind w:left="420" w:hanging="420"/>
      </w:pPr>
      <w:rPr>
        <w:rFonts w:hint="default" w:ascii="Wingdings" w:hAnsi="Wingdings"/>
      </w:rPr>
    </w:lvl>
  </w:abstractNum>
  <w:abstractNum w:abstractNumId="1">
    <w:nsid w:val="DBB31DFA"/>
    <w:multiLevelType w:val="multilevel"/>
    <w:tmpl w:val="DBB31DFA"/>
    <w:lvl w:ilvl="0" w:tentative="0">
      <w:start w:val="1"/>
      <w:numFmt w:val="decimal"/>
      <w:isLgl/>
      <w:lvlText w:val="%1"/>
      <w:lvlJc w:val="left"/>
      <w:pPr>
        <w:tabs>
          <w:tab w:val="left" w:pos="432"/>
        </w:tabs>
        <w:ind w:left="432" w:hanging="432"/>
      </w:pPr>
      <w:rPr>
        <w:rFonts w:hint="default" w:ascii="宋体" w:hAnsi="宋体" w:eastAsia="宋体" w:cs="宋体"/>
        <w:b/>
        <w:i w:val="0"/>
        <w:sz w:val="28"/>
      </w:rPr>
    </w:lvl>
    <w:lvl w:ilvl="1" w:tentative="0">
      <w:start w:val="1"/>
      <w:numFmt w:val="decimal"/>
      <w:lvlText w:val="%1.%2"/>
      <w:lvlJc w:val="left"/>
      <w:pPr>
        <w:tabs>
          <w:tab w:val="left" w:pos="576"/>
        </w:tabs>
        <w:ind w:left="576" w:hanging="576"/>
      </w:pPr>
      <w:rPr>
        <w:rFonts w:hint="default" w:ascii="宋体" w:hAnsi="宋体" w:eastAsia="宋体" w:cs="宋体"/>
        <w:b/>
        <w:i w:val="0"/>
        <w:sz w:val="24"/>
      </w:rPr>
    </w:lvl>
    <w:lvl w:ilvl="2" w:tentative="0">
      <w:start w:val="1"/>
      <w:numFmt w:val="decimal"/>
      <w:pStyle w:val="4"/>
      <w:lvlText w:val="%1.%2.%3"/>
      <w:lvlJc w:val="left"/>
      <w:pPr>
        <w:tabs>
          <w:tab w:val="left" w:pos="720"/>
        </w:tabs>
        <w:ind w:left="720" w:hanging="720"/>
      </w:pPr>
      <w:rPr>
        <w:rFonts w:hint="default" w:ascii="宋体" w:hAnsi="宋体" w:eastAsia="宋体" w:cs="宋体"/>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060D3FFB"/>
    <w:multiLevelType w:val="multilevel"/>
    <w:tmpl w:val="060D3FFB"/>
    <w:lvl w:ilvl="0" w:tentative="0">
      <w:start w:val="1"/>
      <w:numFmt w:val="bullet"/>
      <w:pStyle w:val="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4353F0D"/>
    <w:multiLevelType w:val="multilevel"/>
    <w:tmpl w:val="24353F0D"/>
    <w:lvl w:ilvl="0" w:tentative="0">
      <w:start w:val="3"/>
      <w:numFmt w:val="bullet"/>
      <w:lvlText w:val="-"/>
      <w:lvlJc w:val="left"/>
      <w:pPr>
        <w:ind w:left="760" w:hanging="360"/>
      </w:pPr>
      <w:rPr>
        <w:rFonts w:hint="default" w:ascii="Times New Roman" w:hAnsi="Times New Roman" w:eastAsia="Malgun Gothic" w:cs="Times New Roman"/>
        <w:lang w:val="en-US"/>
      </w:rPr>
    </w:lvl>
    <w:lvl w:ilvl="1" w:tentative="0">
      <w:start w:val="1"/>
      <w:numFmt w:val="bullet"/>
      <w:lvlText w:val=""/>
      <w:lvlJc w:val="left"/>
      <w:pPr>
        <w:ind w:left="1200" w:hanging="400"/>
      </w:pPr>
      <w:rPr>
        <w:rFonts w:hint="default" w:ascii="Symbol" w:hAnsi="Symbol"/>
      </w:rPr>
    </w:lvl>
    <w:lvl w:ilvl="2" w:tentative="0">
      <w:start w:val="1"/>
      <w:numFmt w:val="bullet"/>
      <w:lvlText w:val="o"/>
      <w:lvlJc w:val="left"/>
      <w:pPr>
        <w:ind w:left="1600" w:hanging="400"/>
      </w:pPr>
      <w:rPr>
        <w:rFonts w:hint="default" w:ascii="Courier New" w:hAnsi="Courier New" w:cs="Courier New"/>
      </w:rPr>
    </w:lvl>
    <w:lvl w:ilvl="3" w:tentative="0">
      <w:start w:val="3"/>
      <w:numFmt w:val="bullet"/>
      <w:lvlText w:val="-"/>
      <w:lvlJc w:val="left"/>
      <w:pPr>
        <w:ind w:left="2000" w:hanging="400"/>
      </w:pPr>
      <w:rPr>
        <w:rFonts w:hint="default" w:ascii="Times New Roman" w:hAnsi="Times New Roman" w:eastAsia="Malgun Gothic" w:cs="Times New Roman"/>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4">
    <w:nsid w:val="2621AF83"/>
    <w:multiLevelType w:val="multilevel"/>
    <w:tmpl w:val="2621AF83"/>
    <w:lvl w:ilvl="0" w:tentative="0">
      <w:start w:val="1"/>
      <w:numFmt w:val="decimal"/>
      <w:pStyle w:val="2"/>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pStyle w:val="3"/>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5">
    <w:nsid w:val="321E7551"/>
    <w:multiLevelType w:val="multilevel"/>
    <w:tmpl w:val="321E75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46649D7"/>
    <w:multiLevelType w:val="multilevel"/>
    <w:tmpl w:val="446649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F2A4A6D"/>
    <w:multiLevelType w:val="multilevel"/>
    <w:tmpl w:val="4F2A4A6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4A61B61"/>
    <w:multiLevelType w:val="multilevel"/>
    <w:tmpl w:val="54A61B6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
  </w:num>
  <w:num w:numId="3">
    <w:abstractNumId w:val="2"/>
  </w:num>
  <w:num w:numId="4">
    <w:abstractNumId w:val="7"/>
  </w:num>
  <w:num w:numId="5">
    <w:abstractNumId w:val="3"/>
  </w:num>
  <w:num w:numId="6">
    <w:abstractNumId w:val="6"/>
  </w:num>
  <w:num w:numId="7">
    <w:abstractNumId w:val="8"/>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trackRevisions w:val="1"/>
  <w:documentProtection w:enforcement="0"/>
  <w:defaultTabStop w:val="420"/>
  <w:drawingGridHorizontalSpacing w:val="110"/>
  <w:noPunctuationKerning w:val="1"/>
  <w:characterSpacingControl w:val="doNotCompress"/>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751"/>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CCC"/>
    <w:rsid w:val="00013CE8"/>
    <w:rsid w:val="00013EF4"/>
    <w:rsid w:val="00013F3D"/>
    <w:rsid w:val="000143CA"/>
    <w:rsid w:val="00014536"/>
    <w:rsid w:val="00014604"/>
    <w:rsid w:val="00014F4A"/>
    <w:rsid w:val="00015601"/>
    <w:rsid w:val="00015A36"/>
    <w:rsid w:val="000161ED"/>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31E5"/>
    <w:rsid w:val="000332EA"/>
    <w:rsid w:val="00033454"/>
    <w:rsid w:val="000335D4"/>
    <w:rsid w:val="00033649"/>
    <w:rsid w:val="00033E24"/>
    <w:rsid w:val="00033EF4"/>
    <w:rsid w:val="00034192"/>
    <w:rsid w:val="000342F2"/>
    <w:rsid w:val="000343FC"/>
    <w:rsid w:val="000350D0"/>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51"/>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8BF"/>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867"/>
    <w:rsid w:val="000818BD"/>
    <w:rsid w:val="00081D05"/>
    <w:rsid w:val="00081F52"/>
    <w:rsid w:val="00082072"/>
    <w:rsid w:val="00082B44"/>
    <w:rsid w:val="00082C05"/>
    <w:rsid w:val="00082D7F"/>
    <w:rsid w:val="00082E4E"/>
    <w:rsid w:val="00082F8E"/>
    <w:rsid w:val="00083074"/>
    <w:rsid w:val="000830B1"/>
    <w:rsid w:val="0008320F"/>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F0"/>
    <w:rsid w:val="00094F66"/>
    <w:rsid w:val="0009534B"/>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19"/>
    <w:rsid w:val="000A17FC"/>
    <w:rsid w:val="000A18AD"/>
    <w:rsid w:val="000A1D48"/>
    <w:rsid w:val="000A23D8"/>
    <w:rsid w:val="000A2499"/>
    <w:rsid w:val="000A24F6"/>
    <w:rsid w:val="000A2C04"/>
    <w:rsid w:val="000A3204"/>
    <w:rsid w:val="000A3270"/>
    <w:rsid w:val="000A32A0"/>
    <w:rsid w:val="000A3E6F"/>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4E96"/>
    <w:rsid w:val="000B5BA6"/>
    <w:rsid w:val="000B5C0E"/>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947"/>
    <w:rsid w:val="000D1A6F"/>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6C"/>
    <w:rsid w:val="000D6585"/>
    <w:rsid w:val="000D658D"/>
    <w:rsid w:val="000D679A"/>
    <w:rsid w:val="000D6B11"/>
    <w:rsid w:val="000D71B6"/>
    <w:rsid w:val="000D744C"/>
    <w:rsid w:val="000D74AE"/>
    <w:rsid w:val="000D74D2"/>
    <w:rsid w:val="000D74E6"/>
    <w:rsid w:val="000D7C6A"/>
    <w:rsid w:val="000D7E1F"/>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BC5"/>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0F1"/>
    <w:rsid w:val="000F225C"/>
    <w:rsid w:val="000F23C6"/>
    <w:rsid w:val="000F271E"/>
    <w:rsid w:val="000F281A"/>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32"/>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3E1"/>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915"/>
    <w:rsid w:val="00127AB8"/>
    <w:rsid w:val="00127BEB"/>
    <w:rsid w:val="00127E85"/>
    <w:rsid w:val="001303CB"/>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84"/>
    <w:rsid w:val="001335A7"/>
    <w:rsid w:val="001335C1"/>
    <w:rsid w:val="001335EA"/>
    <w:rsid w:val="00133C49"/>
    <w:rsid w:val="00134082"/>
    <w:rsid w:val="0013430F"/>
    <w:rsid w:val="001344B8"/>
    <w:rsid w:val="001345E2"/>
    <w:rsid w:val="00134620"/>
    <w:rsid w:val="001349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25E"/>
    <w:rsid w:val="001553BC"/>
    <w:rsid w:val="00155887"/>
    <w:rsid w:val="00155ACC"/>
    <w:rsid w:val="0015646F"/>
    <w:rsid w:val="00156607"/>
    <w:rsid w:val="00156853"/>
    <w:rsid w:val="00156A5E"/>
    <w:rsid w:val="00156B0C"/>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9E5"/>
    <w:rsid w:val="00166E49"/>
    <w:rsid w:val="00166EFA"/>
    <w:rsid w:val="0016798D"/>
    <w:rsid w:val="00167DC6"/>
    <w:rsid w:val="00167DD8"/>
    <w:rsid w:val="00167EB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3095"/>
    <w:rsid w:val="0017342A"/>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D4B"/>
    <w:rsid w:val="00194813"/>
    <w:rsid w:val="00194D22"/>
    <w:rsid w:val="00194F70"/>
    <w:rsid w:val="0019508B"/>
    <w:rsid w:val="001956BB"/>
    <w:rsid w:val="00195AC9"/>
    <w:rsid w:val="00195F55"/>
    <w:rsid w:val="00196639"/>
    <w:rsid w:val="0019675D"/>
    <w:rsid w:val="001967D5"/>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762"/>
    <w:rsid w:val="001A78A8"/>
    <w:rsid w:val="001A78CF"/>
    <w:rsid w:val="001A7C78"/>
    <w:rsid w:val="001A7CC0"/>
    <w:rsid w:val="001A7D66"/>
    <w:rsid w:val="001A7E98"/>
    <w:rsid w:val="001A7FCC"/>
    <w:rsid w:val="001B00F8"/>
    <w:rsid w:val="001B010B"/>
    <w:rsid w:val="001B0594"/>
    <w:rsid w:val="001B068B"/>
    <w:rsid w:val="001B086E"/>
    <w:rsid w:val="001B0D0A"/>
    <w:rsid w:val="001B0F3F"/>
    <w:rsid w:val="001B1739"/>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3DED"/>
    <w:rsid w:val="001C403F"/>
    <w:rsid w:val="001C4064"/>
    <w:rsid w:val="001C4597"/>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910"/>
    <w:rsid w:val="001D3D04"/>
    <w:rsid w:val="001D3F5E"/>
    <w:rsid w:val="001D41EB"/>
    <w:rsid w:val="001D45FF"/>
    <w:rsid w:val="001D4840"/>
    <w:rsid w:val="001D5020"/>
    <w:rsid w:val="001D5024"/>
    <w:rsid w:val="001D502E"/>
    <w:rsid w:val="001D55C7"/>
    <w:rsid w:val="001D586F"/>
    <w:rsid w:val="001D5CC1"/>
    <w:rsid w:val="001D5F96"/>
    <w:rsid w:val="001D6203"/>
    <w:rsid w:val="001D6865"/>
    <w:rsid w:val="001D6B3E"/>
    <w:rsid w:val="001D6BAE"/>
    <w:rsid w:val="001D71C4"/>
    <w:rsid w:val="001D7402"/>
    <w:rsid w:val="001D7696"/>
    <w:rsid w:val="001D7859"/>
    <w:rsid w:val="001D7AAB"/>
    <w:rsid w:val="001D7BE6"/>
    <w:rsid w:val="001D7C94"/>
    <w:rsid w:val="001D7F56"/>
    <w:rsid w:val="001D7F5D"/>
    <w:rsid w:val="001E00B3"/>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7C8"/>
    <w:rsid w:val="001E3BCD"/>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9FC"/>
    <w:rsid w:val="001F0A4C"/>
    <w:rsid w:val="001F0E75"/>
    <w:rsid w:val="001F12C8"/>
    <w:rsid w:val="001F1425"/>
    <w:rsid w:val="001F1AE0"/>
    <w:rsid w:val="001F21A7"/>
    <w:rsid w:val="001F251F"/>
    <w:rsid w:val="001F28BB"/>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972"/>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4E4"/>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C5D"/>
    <w:rsid w:val="00210DEC"/>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03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C9"/>
    <w:rsid w:val="00225AF4"/>
    <w:rsid w:val="00225E4E"/>
    <w:rsid w:val="002261C0"/>
    <w:rsid w:val="002268E2"/>
    <w:rsid w:val="002268F2"/>
    <w:rsid w:val="00226CE8"/>
    <w:rsid w:val="00227BA0"/>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4003C"/>
    <w:rsid w:val="002402C0"/>
    <w:rsid w:val="00240405"/>
    <w:rsid w:val="0024056D"/>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846"/>
    <w:rsid w:val="0024388A"/>
    <w:rsid w:val="00243A8D"/>
    <w:rsid w:val="00243DA6"/>
    <w:rsid w:val="00243F99"/>
    <w:rsid w:val="002441D4"/>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E9"/>
    <w:rsid w:val="00246A3D"/>
    <w:rsid w:val="00246F00"/>
    <w:rsid w:val="00247CE7"/>
    <w:rsid w:val="00247D12"/>
    <w:rsid w:val="00247DAA"/>
    <w:rsid w:val="00247DEA"/>
    <w:rsid w:val="00247DF0"/>
    <w:rsid w:val="00247F83"/>
    <w:rsid w:val="00250170"/>
    <w:rsid w:val="00250404"/>
    <w:rsid w:val="0025053C"/>
    <w:rsid w:val="00250877"/>
    <w:rsid w:val="002508B6"/>
    <w:rsid w:val="002509C9"/>
    <w:rsid w:val="00250C01"/>
    <w:rsid w:val="00250C2C"/>
    <w:rsid w:val="00251109"/>
    <w:rsid w:val="0025132B"/>
    <w:rsid w:val="002516ED"/>
    <w:rsid w:val="00251827"/>
    <w:rsid w:val="0025195C"/>
    <w:rsid w:val="00252543"/>
    <w:rsid w:val="00252712"/>
    <w:rsid w:val="00252C55"/>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1E99"/>
    <w:rsid w:val="002620E5"/>
    <w:rsid w:val="0026265B"/>
    <w:rsid w:val="00262693"/>
    <w:rsid w:val="00262973"/>
    <w:rsid w:val="00262A86"/>
    <w:rsid w:val="00262ED0"/>
    <w:rsid w:val="0026308B"/>
    <w:rsid w:val="00263355"/>
    <w:rsid w:val="002634C3"/>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EC"/>
    <w:rsid w:val="002723BA"/>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6E7A"/>
    <w:rsid w:val="00277270"/>
    <w:rsid w:val="002772D0"/>
    <w:rsid w:val="0027746F"/>
    <w:rsid w:val="00277646"/>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4AA4"/>
    <w:rsid w:val="002851A4"/>
    <w:rsid w:val="00285878"/>
    <w:rsid w:val="00285AEF"/>
    <w:rsid w:val="00285C28"/>
    <w:rsid w:val="002860A4"/>
    <w:rsid w:val="00286362"/>
    <w:rsid w:val="00286366"/>
    <w:rsid w:val="002863F4"/>
    <w:rsid w:val="00286527"/>
    <w:rsid w:val="00286544"/>
    <w:rsid w:val="00286920"/>
    <w:rsid w:val="00286AFA"/>
    <w:rsid w:val="00286BF7"/>
    <w:rsid w:val="00286D84"/>
    <w:rsid w:val="0028727D"/>
    <w:rsid w:val="002872F0"/>
    <w:rsid w:val="00287693"/>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E27"/>
    <w:rsid w:val="00295F0E"/>
    <w:rsid w:val="00296095"/>
    <w:rsid w:val="0029623A"/>
    <w:rsid w:val="002963F2"/>
    <w:rsid w:val="002965EA"/>
    <w:rsid w:val="002965F8"/>
    <w:rsid w:val="002967F3"/>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4FE9"/>
    <w:rsid w:val="002A5117"/>
    <w:rsid w:val="002A52DB"/>
    <w:rsid w:val="002A53E0"/>
    <w:rsid w:val="002A55CA"/>
    <w:rsid w:val="002A5720"/>
    <w:rsid w:val="002A5752"/>
    <w:rsid w:val="002A576B"/>
    <w:rsid w:val="002A57BE"/>
    <w:rsid w:val="002A5A9F"/>
    <w:rsid w:val="002A5AA9"/>
    <w:rsid w:val="002A5AC5"/>
    <w:rsid w:val="002A5E9E"/>
    <w:rsid w:val="002A6F4F"/>
    <w:rsid w:val="002A7AB3"/>
    <w:rsid w:val="002A7C12"/>
    <w:rsid w:val="002A7D65"/>
    <w:rsid w:val="002A7E40"/>
    <w:rsid w:val="002A7EEE"/>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2129"/>
    <w:rsid w:val="002B24A2"/>
    <w:rsid w:val="002B2594"/>
    <w:rsid w:val="002B263F"/>
    <w:rsid w:val="002B2AC0"/>
    <w:rsid w:val="002B2E04"/>
    <w:rsid w:val="002B2FA6"/>
    <w:rsid w:val="002B3231"/>
    <w:rsid w:val="002B34A8"/>
    <w:rsid w:val="002B34FB"/>
    <w:rsid w:val="002B38C1"/>
    <w:rsid w:val="002B4068"/>
    <w:rsid w:val="002B474B"/>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E27"/>
    <w:rsid w:val="002C2E5D"/>
    <w:rsid w:val="002C2E78"/>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870"/>
    <w:rsid w:val="002C6A72"/>
    <w:rsid w:val="002C6B21"/>
    <w:rsid w:val="002C6B23"/>
    <w:rsid w:val="002C6D68"/>
    <w:rsid w:val="002C6EF1"/>
    <w:rsid w:val="002C75D0"/>
    <w:rsid w:val="002C7ACC"/>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402A"/>
    <w:rsid w:val="002D4142"/>
    <w:rsid w:val="002D4329"/>
    <w:rsid w:val="002D43D9"/>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A3B"/>
    <w:rsid w:val="002E5F34"/>
    <w:rsid w:val="002E612D"/>
    <w:rsid w:val="002E64AC"/>
    <w:rsid w:val="002E65CD"/>
    <w:rsid w:val="002E68BD"/>
    <w:rsid w:val="002E6E72"/>
    <w:rsid w:val="002E6FD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A24"/>
    <w:rsid w:val="002F3DB9"/>
    <w:rsid w:val="002F4121"/>
    <w:rsid w:val="002F4367"/>
    <w:rsid w:val="002F45FE"/>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3774"/>
    <w:rsid w:val="00313B14"/>
    <w:rsid w:val="00314004"/>
    <w:rsid w:val="0031422A"/>
    <w:rsid w:val="00314408"/>
    <w:rsid w:val="00314489"/>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749"/>
    <w:rsid w:val="003318D6"/>
    <w:rsid w:val="00331E0D"/>
    <w:rsid w:val="0033205A"/>
    <w:rsid w:val="003322B7"/>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5E88"/>
    <w:rsid w:val="003361A3"/>
    <w:rsid w:val="0033688B"/>
    <w:rsid w:val="00336B46"/>
    <w:rsid w:val="00336DFE"/>
    <w:rsid w:val="0033748D"/>
    <w:rsid w:val="003376E0"/>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4BC"/>
    <w:rsid w:val="0036062D"/>
    <w:rsid w:val="003606BF"/>
    <w:rsid w:val="0036097D"/>
    <w:rsid w:val="00360D5D"/>
    <w:rsid w:val="00361163"/>
    <w:rsid w:val="0036128C"/>
    <w:rsid w:val="00361C30"/>
    <w:rsid w:val="003620FE"/>
    <w:rsid w:val="0036213C"/>
    <w:rsid w:val="00362D3F"/>
    <w:rsid w:val="00363216"/>
    <w:rsid w:val="003632D5"/>
    <w:rsid w:val="00363CDA"/>
    <w:rsid w:val="003640D0"/>
    <w:rsid w:val="00364A79"/>
    <w:rsid w:val="00365843"/>
    <w:rsid w:val="003658A6"/>
    <w:rsid w:val="00365A30"/>
    <w:rsid w:val="00366226"/>
    <w:rsid w:val="003663AD"/>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599"/>
    <w:rsid w:val="00374727"/>
    <w:rsid w:val="0037480A"/>
    <w:rsid w:val="00374834"/>
    <w:rsid w:val="00374856"/>
    <w:rsid w:val="003749BD"/>
    <w:rsid w:val="00374CE9"/>
    <w:rsid w:val="00374E51"/>
    <w:rsid w:val="00375342"/>
    <w:rsid w:val="00375349"/>
    <w:rsid w:val="00375905"/>
    <w:rsid w:val="00375B88"/>
    <w:rsid w:val="00375BD6"/>
    <w:rsid w:val="00376264"/>
    <w:rsid w:val="003769CB"/>
    <w:rsid w:val="00376A10"/>
    <w:rsid w:val="00376D39"/>
    <w:rsid w:val="00376EB8"/>
    <w:rsid w:val="00376F5A"/>
    <w:rsid w:val="00377131"/>
    <w:rsid w:val="00377EE6"/>
    <w:rsid w:val="00377F90"/>
    <w:rsid w:val="00377F99"/>
    <w:rsid w:val="00380215"/>
    <w:rsid w:val="00380856"/>
    <w:rsid w:val="00380939"/>
    <w:rsid w:val="00380B59"/>
    <w:rsid w:val="00380E6D"/>
    <w:rsid w:val="00381849"/>
    <w:rsid w:val="00381B21"/>
    <w:rsid w:val="00381C9E"/>
    <w:rsid w:val="00382208"/>
    <w:rsid w:val="00382284"/>
    <w:rsid w:val="003825BB"/>
    <w:rsid w:val="0038280E"/>
    <w:rsid w:val="003828F3"/>
    <w:rsid w:val="00382C26"/>
    <w:rsid w:val="00383C01"/>
    <w:rsid w:val="00383CFF"/>
    <w:rsid w:val="003840EF"/>
    <w:rsid w:val="003842AA"/>
    <w:rsid w:val="003842D0"/>
    <w:rsid w:val="003843E2"/>
    <w:rsid w:val="00384687"/>
    <w:rsid w:val="00384CA8"/>
    <w:rsid w:val="00385031"/>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20"/>
    <w:rsid w:val="00393F9A"/>
    <w:rsid w:val="00394121"/>
    <w:rsid w:val="00394630"/>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5B2"/>
    <w:rsid w:val="003B15EB"/>
    <w:rsid w:val="003B1C4D"/>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9D8"/>
    <w:rsid w:val="003C7C3B"/>
    <w:rsid w:val="003D0038"/>
    <w:rsid w:val="003D0388"/>
    <w:rsid w:val="003D073B"/>
    <w:rsid w:val="003D0A31"/>
    <w:rsid w:val="003D0C73"/>
    <w:rsid w:val="003D0D98"/>
    <w:rsid w:val="003D1123"/>
    <w:rsid w:val="003D1F75"/>
    <w:rsid w:val="003D2158"/>
    <w:rsid w:val="003D21D5"/>
    <w:rsid w:val="003D2477"/>
    <w:rsid w:val="003D2927"/>
    <w:rsid w:val="003D2C21"/>
    <w:rsid w:val="003D2E15"/>
    <w:rsid w:val="003D2F96"/>
    <w:rsid w:val="003D32EC"/>
    <w:rsid w:val="003D35B6"/>
    <w:rsid w:val="003D35C8"/>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DDE"/>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3F"/>
    <w:rsid w:val="003E36B1"/>
    <w:rsid w:val="003E36C7"/>
    <w:rsid w:val="003E37EF"/>
    <w:rsid w:val="003E38A2"/>
    <w:rsid w:val="003E3925"/>
    <w:rsid w:val="003E3C64"/>
    <w:rsid w:val="003E3F01"/>
    <w:rsid w:val="003E40D0"/>
    <w:rsid w:val="003E4352"/>
    <w:rsid w:val="003E4361"/>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95"/>
    <w:rsid w:val="003E6A88"/>
    <w:rsid w:val="003E6B51"/>
    <w:rsid w:val="003E7EC9"/>
    <w:rsid w:val="003F0008"/>
    <w:rsid w:val="003F0279"/>
    <w:rsid w:val="003F0332"/>
    <w:rsid w:val="003F050B"/>
    <w:rsid w:val="003F06D3"/>
    <w:rsid w:val="003F09B4"/>
    <w:rsid w:val="003F09EB"/>
    <w:rsid w:val="003F0A9A"/>
    <w:rsid w:val="003F150A"/>
    <w:rsid w:val="003F2118"/>
    <w:rsid w:val="003F212F"/>
    <w:rsid w:val="003F21AE"/>
    <w:rsid w:val="003F21D3"/>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355"/>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0F74"/>
    <w:rsid w:val="00401123"/>
    <w:rsid w:val="00401328"/>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ADF"/>
    <w:rsid w:val="00411BCC"/>
    <w:rsid w:val="00411BE6"/>
    <w:rsid w:val="00411DBA"/>
    <w:rsid w:val="004122BE"/>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C0C"/>
    <w:rsid w:val="00422D37"/>
    <w:rsid w:val="00422E61"/>
    <w:rsid w:val="00423435"/>
    <w:rsid w:val="0042392E"/>
    <w:rsid w:val="00423B88"/>
    <w:rsid w:val="00423E1D"/>
    <w:rsid w:val="00423F94"/>
    <w:rsid w:val="004241A7"/>
    <w:rsid w:val="004245B2"/>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71D4"/>
    <w:rsid w:val="004373DC"/>
    <w:rsid w:val="00437755"/>
    <w:rsid w:val="0043782F"/>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B7A"/>
    <w:rsid w:val="00445EA2"/>
    <w:rsid w:val="00445F65"/>
    <w:rsid w:val="004463DC"/>
    <w:rsid w:val="004463DD"/>
    <w:rsid w:val="0044664C"/>
    <w:rsid w:val="004466AD"/>
    <w:rsid w:val="00446701"/>
    <w:rsid w:val="00446BBA"/>
    <w:rsid w:val="00446E50"/>
    <w:rsid w:val="00447188"/>
    <w:rsid w:val="00447803"/>
    <w:rsid w:val="00447BC1"/>
    <w:rsid w:val="00447CE3"/>
    <w:rsid w:val="00447F0D"/>
    <w:rsid w:val="00447FF4"/>
    <w:rsid w:val="004500A3"/>
    <w:rsid w:val="00450246"/>
    <w:rsid w:val="00450349"/>
    <w:rsid w:val="00450373"/>
    <w:rsid w:val="004503A2"/>
    <w:rsid w:val="004504FF"/>
    <w:rsid w:val="0045088C"/>
    <w:rsid w:val="00450C00"/>
    <w:rsid w:val="00450C84"/>
    <w:rsid w:val="00451A38"/>
    <w:rsid w:val="00451ACA"/>
    <w:rsid w:val="00451ADC"/>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4EE2"/>
    <w:rsid w:val="00455112"/>
    <w:rsid w:val="004552E1"/>
    <w:rsid w:val="004554CD"/>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6AE"/>
    <w:rsid w:val="0046177F"/>
    <w:rsid w:val="00461AA1"/>
    <w:rsid w:val="00461C36"/>
    <w:rsid w:val="00461D4A"/>
    <w:rsid w:val="00461EBD"/>
    <w:rsid w:val="004621D4"/>
    <w:rsid w:val="00462672"/>
    <w:rsid w:val="00462985"/>
    <w:rsid w:val="00462C92"/>
    <w:rsid w:val="00462D0F"/>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6468"/>
    <w:rsid w:val="00466864"/>
    <w:rsid w:val="00466D3F"/>
    <w:rsid w:val="00466E9B"/>
    <w:rsid w:val="004677D5"/>
    <w:rsid w:val="00467AAF"/>
    <w:rsid w:val="00467AD2"/>
    <w:rsid w:val="00467B05"/>
    <w:rsid w:val="00467E92"/>
    <w:rsid w:val="00470B67"/>
    <w:rsid w:val="00470D83"/>
    <w:rsid w:val="00470F44"/>
    <w:rsid w:val="004710C0"/>
    <w:rsid w:val="0047121B"/>
    <w:rsid w:val="00471377"/>
    <w:rsid w:val="004713F0"/>
    <w:rsid w:val="00471731"/>
    <w:rsid w:val="004718E6"/>
    <w:rsid w:val="00471B42"/>
    <w:rsid w:val="00471E7C"/>
    <w:rsid w:val="004720D6"/>
    <w:rsid w:val="0047224D"/>
    <w:rsid w:val="00472BF7"/>
    <w:rsid w:val="00472D45"/>
    <w:rsid w:val="0047336B"/>
    <w:rsid w:val="004735C9"/>
    <w:rsid w:val="0047362F"/>
    <w:rsid w:val="00474037"/>
    <w:rsid w:val="00474349"/>
    <w:rsid w:val="00474E2D"/>
    <w:rsid w:val="00474F74"/>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67B"/>
    <w:rsid w:val="004836D9"/>
    <w:rsid w:val="004838AF"/>
    <w:rsid w:val="00483A49"/>
    <w:rsid w:val="00483B3C"/>
    <w:rsid w:val="00483D0D"/>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D61"/>
    <w:rsid w:val="004A1DF6"/>
    <w:rsid w:val="004A1F4F"/>
    <w:rsid w:val="004A26A7"/>
    <w:rsid w:val="004A2A0E"/>
    <w:rsid w:val="004A2D69"/>
    <w:rsid w:val="004A2D71"/>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766"/>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77"/>
    <w:rsid w:val="004D35AD"/>
    <w:rsid w:val="004D3BF2"/>
    <w:rsid w:val="004D3E8A"/>
    <w:rsid w:val="004D3F29"/>
    <w:rsid w:val="004D40E4"/>
    <w:rsid w:val="004D4459"/>
    <w:rsid w:val="004D476D"/>
    <w:rsid w:val="004D4946"/>
    <w:rsid w:val="004D4DA8"/>
    <w:rsid w:val="004D4E3E"/>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1094"/>
    <w:rsid w:val="004E12A5"/>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3F3B"/>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889"/>
    <w:rsid w:val="00503A44"/>
    <w:rsid w:val="00503AF6"/>
    <w:rsid w:val="00503B2A"/>
    <w:rsid w:val="00503CE4"/>
    <w:rsid w:val="005046AB"/>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AF"/>
    <w:rsid w:val="00507D0E"/>
    <w:rsid w:val="00507ED9"/>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168"/>
    <w:rsid w:val="005163E6"/>
    <w:rsid w:val="0051665E"/>
    <w:rsid w:val="0051673C"/>
    <w:rsid w:val="00516D7B"/>
    <w:rsid w:val="00517196"/>
    <w:rsid w:val="005173CE"/>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AF8"/>
    <w:rsid w:val="00523DD2"/>
    <w:rsid w:val="00523E1B"/>
    <w:rsid w:val="00523F10"/>
    <w:rsid w:val="005242AF"/>
    <w:rsid w:val="00524A74"/>
    <w:rsid w:val="00524CB1"/>
    <w:rsid w:val="0052514B"/>
    <w:rsid w:val="0052539D"/>
    <w:rsid w:val="00525833"/>
    <w:rsid w:val="00525E27"/>
    <w:rsid w:val="005265AA"/>
    <w:rsid w:val="005265BE"/>
    <w:rsid w:val="00526A18"/>
    <w:rsid w:val="00526ADF"/>
    <w:rsid w:val="00526C75"/>
    <w:rsid w:val="00526D21"/>
    <w:rsid w:val="00526D25"/>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633"/>
    <w:rsid w:val="0053270E"/>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1EE"/>
    <w:rsid w:val="00546355"/>
    <w:rsid w:val="0054665E"/>
    <w:rsid w:val="00546ADB"/>
    <w:rsid w:val="00546F8B"/>
    <w:rsid w:val="0054779C"/>
    <w:rsid w:val="005478ED"/>
    <w:rsid w:val="005478EE"/>
    <w:rsid w:val="00547983"/>
    <w:rsid w:val="00547AD7"/>
    <w:rsid w:val="00547C94"/>
    <w:rsid w:val="00547CF0"/>
    <w:rsid w:val="005500C8"/>
    <w:rsid w:val="00550147"/>
    <w:rsid w:val="0055022A"/>
    <w:rsid w:val="005502A8"/>
    <w:rsid w:val="00550916"/>
    <w:rsid w:val="00550998"/>
    <w:rsid w:val="00550B76"/>
    <w:rsid w:val="00550DE3"/>
    <w:rsid w:val="00551005"/>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F60"/>
    <w:rsid w:val="005720FA"/>
    <w:rsid w:val="00572222"/>
    <w:rsid w:val="00572365"/>
    <w:rsid w:val="005723DB"/>
    <w:rsid w:val="00572679"/>
    <w:rsid w:val="00572775"/>
    <w:rsid w:val="005727BC"/>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697"/>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809"/>
    <w:rsid w:val="00582835"/>
    <w:rsid w:val="00582A83"/>
    <w:rsid w:val="0058323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2BD1"/>
    <w:rsid w:val="00593543"/>
    <w:rsid w:val="0059385D"/>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842"/>
    <w:rsid w:val="005A1A64"/>
    <w:rsid w:val="005A1C91"/>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6FF"/>
    <w:rsid w:val="005A5839"/>
    <w:rsid w:val="005A597F"/>
    <w:rsid w:val="005A5997"/>
    <w:rsid w:val="005A5CE4"/>
    <w:rsid w:val="005A693F"/>
    <w:rsid w:val="005A6963"/>
    <w:rsid w:val="005A6AD2"/>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5A7"/>
    <w:rsid w:val="005C286F"/>
    <w:rsid w:val="005C2886"/>
    <w:rsid w:val="005C2B7C"/>
    <w:rsid w:val="005C2CF7"/>
    <w:rsid w:val="005C2EF8"/>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38C"/>
    <w:rsid w:val="005C65DD"/>
    <w:rsid w:val="005C6641"/>
    <w:rsid w:val="005C675D"/>
    <w:rsid w:val="005C69F4"/>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CEC"/>
    <w:rsid w:val="005D2D36"/>
    <w:rsid w:val="005D310B"/>
    <w:rsid w:val="005D318C"/>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B19"/>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0B9"/>
    <w:rsid w:val="00607658"/>
    <w:rsid w:val="006077B1"/>
    <w:rsid w:val="006077F9"/>
    <w:rsid w:val="00607859"/>
    <w:rsid w:val="00607863"/>
    <w:rsid w:val="00607A7B"/>
    <w:rsid w:val="00607B90"/>
    <w:rsid w:val="00607D63"/>
    <w:rsid w:val="00607FE2"/>
    <w:rsid w:val="00610050"/>
    <w:rsid w:val="00610150"/>
    <w:rsid w:val="0061037C"/>
    <w:rsid w:val="00610653"/>
    <w:rsid w:val="006108AB"/>
    <w:rsid w:val="00610AB5"/>
    <w:rsid w:val="00611758"/>
    <w:rsid w:val="006119CE"/>
    <w:rsid w:val="00611EA3"/>
    <w:rsid w:val="00611F57"/>
    <w:rsid w:val="00612016"/>
    <w:rsid w:val="00612484"/>
    <w:rsid w:val="006125AB"/>
    <w:rsid w:val="006129BB"/>
    <w:rsid w:val="00612AAF"/>
    <w:rsid w:val="00612E32"/>
    <w:rsid w:val="00612FC7"/>
    <w:rsid w:val="00612FE8"/>
    <w:rsid w:val="006134E5"/>
    <w:rsid w:val="00613543"/>
    <w:rsid w:val="00613892"/>
    <w:rsid w:val="00613988"/>
    <w:rsid w:val="00613BC3"/>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EF"/>
    <w:rsid w:val="006201FE"/>
    <w:rsid w:val="00620238"/>
    <w:rsid w:val="00620611"/>
    <w:rsid w:val="00620B57"/>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3F03"/>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349"/>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634"/>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19"/>
    <w:rsid w:val="00647DD2"/>
    <w:rsid w:val="00647F41"/>
    <w:rsid w:val="00650319"/>
    <w:rsid w:val="0065053D"/>
    <w:rsid w:val="006509B6"/>
    <w:rsid w:val="00650A76"/>
    <w:rsid w:val="00650A8D"/>
    <w:rsid w:val="00650D5D"/>
    <w:rsid w:val="00650F2D"/>
    <w:rsid w:val="00650FCE"/>
    <w:rsid w:val="00650FE7"/>
    <w:rsid w:val="006515CB"/>
    <w:rsid w:val="00651602"/>
    <w:rsid w:val="00651AA0"/>
    <w:rsid w:val="00651AA4"/>
    <w:rsid w:val="006520DE"/>
    <w:rsid w:val="00652135"/>
    <w:rsid w:val="006521C7"/>
    <w:rsid w:val="006522FC"/>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4045"/>
    <w:rsid w:val="00664173"/>
    <w:rsid w:val="006648C6"/>
    <w:rsid w:val="00665C0E"/>
    <w:rsid w:val="00665EDD"/>
    <w:rsid w:val="00665FD1"/>
    <w:rsid w:val="00666197"/>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A87"/>
    <w:rsid w:val="00677D77"/>
    <w:rsid w:val="00677E01"/>
    <w:rsid w:val="00677FC7"/>
    <w:rsid w:val="00680167"/>
    <w:rsid w:val="00680273"/>
    <w:rsid w:val="006806EE"/>
    <w:rsid w:val="00680836"/>
    <w:rsid w:val="00680A32"/>
    <w:rsid w:val="00680F0E"/>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BFF"/>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C53"/>
    <w:rsid w:val="006B0D33"/>
    <w:rsid w:val="006B1552"/>
    <w:rsid w:val="006B17C0"/>
    <w:rsid w:val="006B1B56"/>
    <w:rsid w:val="006B1F08"/>
    <w:rsid w:val="006B2203"/>
    <w:rsid w:val="006B26B9"/>
    <w:rsid w:val="006B26C3"/>
    <w:rsid w:val="006B2BDA"/>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29F"/>
    <w:rsid w:val="006C14A7"/>
    <w:rsid w:val="006C1CEE"/>
    <w:rsid w:val="006C1FE1"/>
    <w:rsid w:val="006C2260"/>
    <w:rsid w:val="006C2585"/>
    <w:rsid w:val="006C2962"/>
    <w:rsid w:val="006C2A1C"/>
    <w:rsid w:val="006C2DA3"/>
    <w:rsid w:val="006C2F43"/>
    <w:rsid w:val="006C316C"/>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567"/>
    <w:rsid w:val="006D768D"/>
    <w:rsid w:val="006D77BC"/>
    <w:rsid w:val="006D790F"/>
    <w:rsid w:val="006D7BB2"/>
    <w:rsid w:val="006D7F44"/>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36F"/>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5FDE"/>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149C"/>
    <w:rsid w:val="0072171F"/>
    <w:rsid w:val="0072182E"/>
    <w:rsid w:val="00722493"/>
    <w:rsid w:val="0072257B"/>
    <w:rsid w:val="00722E44"/>
    <w:rsid w:val="00722F63"/>
    <w:rsid w:val="007233EF"/>
    <w:rsid w:val="007234F0"/>
    <w:rsid w:val="00723719"/>
    <w:rsid w:val="007237B4"/>
    <w:rsid w:val="00724144"/>
    <w:rsid w:val="00724362"/>
    <w:rsid w:val="0072465A"/>
    <w:rsid w:val="007248ED"/>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B3E"/>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3A9"/>
    <w:rsid w:val="00735535"/>
    <w:rsid w:val="0073589B"/>
    <w:rsid w:val="00735992"/>
    <w:rsid w:val="00735D67"/>
    <w:rsid w:val="00735E40"/>
    <w:rsid w:val="00736346"/>
    <w:rsid w:val="007365F3"/>
    <w:rsid w:val="0073677B"/>
    <w:rsid w:val="0073685F"/>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A79"/>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91"/>
    <w:rsid w:val="00780CF8"/>
    <w:rsid w:val="00781654"/>
    <w:rsid w:val="00781F8F"/>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AF9"/>
    <w:rsid w:val="007A5CF0"/>
    <w:rsid w:val="007A5DF3"/>
    <w:rsid w:val="007A5F0E"/>
    <w:rsid w:val="007A62F5"/>
    <w:rsid w:val="007A6679"/>
    <w:rsid w:val="007A681E"/>
    <w:rsid w:val="007A6AC3"/>
    <w:rsid w:val="007A6B05"/>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DA4"/>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287"/>
    <w:rsid w:val="007B64C0"/>
    <w:rsid w:val="007B65F8"/>
    <w:rsid w:val="007B677F"/>
    <w:rsid w:val="007B6866"/>
    <w:rsid w:val="007B68FD"/>
    <w:rsid w:val="007B6971"/>
    <w:rsid w:val="007B6BDE"/>
    <w:rsid w:val="007B6BE0"/>
    <w:rsid w:val="007B6DBA"/>
    <w:rsid w:val="007B77F2"/>
    <w:rsid w:val="007B7C4F"/>
    <w:rsid w:val="007B7F65"/>
    <w:rsid w:val="007C066E"/>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6E97"/>
    <w:rsid w:val="007D7615"/>
    <w:rsid w:val="007D7778"/>
    <w:rsid w:val="007D77A6"/>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B93"/>
    <w:rsid w:val="007F6CEB"/>
    <w:rsid w:val="007F6D58"/>
    <w:rsid w:val="007F6E18"/>
    <w:rsid w:val="007F718C"/>
    <w:rsid w:val="007F73F1"/>
    <w:rsid w:val="007F7512"/>
    <w:rsid w:val="007F75B2"/>
    <w:rsid w:val="007F75C9"/>
    <w:rsid w:val="007F75E6"/>
    <w:rsid w:val="007F7A4A"/>
    <w:rsid w:val="007F7C17"/>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793"/>
    <w:rsid w:val="0081384A"/>
    <w:rsid w:val="008138F8"/>
    <w:rsid w:val="00813D86"/>
    <w:rsid w:val="00813EBD"/>
    <w:rsid w:val="008143FD"/>
    <w:rsid w:val="00814955"/>
    <w:rsid w:val="00814CC0"/>
    <w:rsid w:val="00814F24"/>
    <w:rsid w:val="00814F70"/>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717"/>
    <w:rsid w:val="00840845"/>
    <w:rsid w:val="0084099E"/>
    <w:rsid w:val="00840B60"/>
    <w:rsid w:val="00840E61"/>
    <w:rsid w:val="008410E8"/>
    <w:rsid w:val="008411F2"/>
    <w:rsid w:val="008414FC"/>
    <w:rsid w:val="00841639"/>
    <w:rsid w:val="00841644"/>
    <w:rsid w:val="00841842"/>
    <w:rsid w:val="00841A76"/>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139"/>
    <w:rsid w:val="008712BE"/>
    <w:rsid w:val="0087138F"/>
    <w:rsid w:val="00871633"/>
    <w:rsid w:val="00871675"/>
    <w:rsid w:val="00871A41"/>
    <w:rsid w:val="00871BF9"/>
    <w:rsid w:val="00871D1D"/>
    <w:rsid w:val="008721D6"/>
    <w:rsid w:val="0087239E"/>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19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F09"/>
    <w:rsid w:val="00887FFE"/>
    <w:rsid w:val="0089041F"/>
    <w:rsid w:val="00890803"/>
    <w:rsid w:val="00890B8E"/>
    <w:rsid w:val="00890CE4"/>
    <w:rsid w:val="00890D61"/>
    <w:rsid w:val="00890EFE"/>
    <w:rsid w:val="00891018"/>
    <w:rsid w:val="0089135C"/>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2B"/>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6B2"/>
    <w:rsid w:val="008A0824"/>
    <w:rsid w:val="008A0B8F"/>
    <w:rsid w:val="008A0DB0"/>
    <w:rsid w:val="008A10BA"/>
    <w:rsid w:val="008A1415"/>
    <w:rsid w:val="008A1427"/>
    <w:rsid w:val="008A18EE"/>
    <w:rsid w:val="008A1D3A"/>
    <w:rsid w:val="008A1E8B"/>
    <w:rsid w:val="008A233C"/>
    <w:rsid w:val="008A26D4"/>
    <w:rsid w:val="008A275A"/>
    <w:rsid w:val="008A295F"/>
    <w:rsid w:val="008A2B53"/>
    <w:rsid w:val="008A2CE6"/>
    <w:rsid w:val="008A2D45"/>
    <w:rsid w:val="008A2EB0"/>
    <w:rsid w:val="008A2EF1"/>
    <w:rsid w:val="008A33A5"/>
    <w:rsid w:val="008A3514"/>
    <w:rsid w:val="008A3898"/>
    <w:rsid w:val="008A3991"/>
    <w:rsid w:val="008A39B4"/>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6AB"/>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B35"/>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D65"/>
    <w:rsid w:val="008F6045"/>
    <w:rsid w:val="008F60EC"/>
    <w:rsid w:val="008F618B"/>
    <w:rsid w:val="008F62E9"/>
    <w:rsid w:val="008F6400"/>
    <w:rsid w:val="008F640B"/>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149"/>
    <w:rsid w:val="009034FC"/>
    <w:rsid w:val="0090375A"/>
    <w:rsid w:val="00903C02"/>
    <w:rsid w:val="00903CFB"/>
    <w:rsid w:val="00903D2F"/>
    <w:rsid w:val="00903D6F"/>
    <w:rsid w:val="00904467"/>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07FE4"/>
    <w:rsid w:val="009101D7"/>
    <w:rsid w:val="00910D65"/>
    <w:rsid w:val="00911084"/>
    <w:rsid w:val="0091110D"/>
    <w:rsid w:val="00911141"/>
    <w:rsid w:val="009112C6"/>
    <w:rsid w:val="009117E9"/>
    <w:rsid w:val="00911908"/>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1DF9"/>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396"/>
    <w:rsid w:val="009553CF"/>
    <w:rsid w:val="00955461"/>
    <w:rsid w:val="00955504"/>
    <w:rsid w:val="009558DB"/>
    <w:rsid w:val="0095596A"/>
    <w:rsid w:val="009559DE"/>
    <w:rsid w:val="00955EF3"/>
    <w:rsid w:val="00956266"/>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461"/>
    <w:rsid w:val="00961685"/>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757"/>
    <w:rsid w:val="00976D64"/>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F95"/>
    <w:rsid w:val="00986572"/>
    <w:rsid w:val="009867FB"/>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E80"/>
    <w:rsid w:val="009B1F55"/>
    <w:rsid w:val="009B1FAA"/>
    <w:rsid w:val="009B28BF"/>
    <w:rsid w:val="009B2E36"/>
    <w:rsid w:val="009B392E"/>
    <w:rsid w:val="009B394A"/>
    <w:rsid w:val="009B39E7"/>
    <w:rsid w:val="009B3C8F"/>
    <w:rsid w:val="009B3D01"/>
    <w:rsid w:val="009B4180"/>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B45"/>
    <w:rsid w:val="009C4E0E"/>
    <w:rsid w:val="009C4E33"/>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F2E"/>
    <w:rsid w:val="009D0FFC"/>
    <w:rsid w:val="009D19D5"/>
    <w:rsid w:val="009D1B87"/>
    <w:rsid w:val="009D2367"/>
    <w:rsid w:val="009D2450"/>
    <w:rsid w:val="009D2AB9"/>
    <w:rsid w:val="009D2ABB"/>
    <w:rsid w:val="009D2F12"/>
    <w:rsid w:val="009D2F36"/>
    <w:rsid w:val="009D3236"/>
    <w:rsid w:val="009D32A2"/>
    <w:rsid w:val="009D471B"/>
    <w:rsid w:val="009D48DF"/>
    <w:rsid w:val="009D4CFE"/>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61FC"/>
    <w:rsid w:val="009E6347"/>
    <w:rsid w:val="009E6724"/>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1B6"/>
    <w:rsid w:val="00A10416"/>
    <w:rsid w:val="00A1076C"/>
    <w:rsid w:val="00A108EA"/>
    <w:rsid w:val="00A10A23"/>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E62"/>
    <w:rsid w:val="00A13FB6"/>
    <w:rsid w:val="00A143FD"/>
    <w:rsid w:val="00A149F2"/>
    <w:rsid w:val="00A14AB5"/>
    <w:rsid w:val="00A14BA0"/>
    <w:rsid w:val="00A14D3F"/>
    <w:rsid w:val="00A1529C"/>
    <w:rsid w:val="00A153EF"/>
    <w:rsid w:val="00A15682"/>
    <w:rsid w:val="00A15974"/>
    <w:rsid w:val="00A15A59"/>
    <w:rsid w:val="00A15C15"/>
    <w:rsid w:val="00A15F0C"/>
    <w:rsid w:val="00A16442"/>
    <w:rsid w:val="00A1681A"/>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5E4"/>
    <w:rsid w:val="00A236CB"/>
    <w:rsid w:val="00A23A6A"/>
    <w:rsid w:val="00A23B91"/>
    <w:rsid w:val="00A244CC"/>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82"/>
    <w:rsid w:val="00A57B95"/>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26"/>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BA5"/>
    <w:rsid w:val="00A77CF2"/>
    <w:rsid w:val="00A77D4E"/>
    <w:rsid w:val="00A77FE0"/>
    <w:rsid w:val="00A80058"/>
    <w:rsid w:val="00A8039F"/>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7A2"/>
    <w:rsid w:val="00AA08D9"/>
    <w:rsid w:val="00AA0A31"/>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B69"/>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3EA4"/>
    <w:rsid w:val="00AB45FE"/>
    <w:rsid w:val="00AB505A"/>
    <w:rsid w:val="00AB5061"/>
    <w:rsid w:val="00AB5081"/>
    <w:rsid w:val="00AB5713"/>
    <w:rsid w:val="00AB5AFB"/>
    <w:rsid w:val="00AB5C2F"/>
    <w:rsid w:val="00AB60AB"/>
    <w:rsid w:val="00AB6569"/>
    <w:rsid w:val="00AB68C8"/>
    <w:rsid w:val="00AB6995"/>
    <w:rsid w:val="00AB69DA"/>
    <w:rsid w:val="00AB6BE0"/>
    <w:rsid w:val="00AB6FDE"/>
    <w:rsid w:val="00AB7227"/>
    <w:rsid w:val="00AB7457"/>
    <w:rsid w:val="00AB7783"/>
    <w:rsid w:val="00AB7BF9"/>
    <w:rsid w:val="00AC025A"/>
    <w:rsid w:val="00AC0A6C"/>
    <w:rsid w:val="00AC0BF9"/>
    <w:rsid w:val="00AC0D9E"/>
    <w:rsid w:val="00AC1032"/>
    <w:rsid w:val="00AC1045"/>
    <w:rsid w:val="00AC111D"/>
    <w:rsid w:val="00AC137E"/>
    <w:rsid w:val="00AC1562"/>
    <w:rsid w:val="00AC15F3"/>
    <w:rsid w:val="00AC172A"/>
    <w:rsid w:val="00AC1C1C"/>
    <w:rsid w:val="00AC23A5"/>
    <w:rsid w:val="00AC246B"/>
    <w:rsid w:val="00AC2515"/>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B92"/>
    <w:rsid w:val="00AD0C50"/>
    <w:rsid w:val="00AD0CF0"/>
    <w:rsid w:val="00AD0E0D"/>
    <w:rsid w:val="00AD0E10"/>
    <w:rsid w:val="00AD1156"/>
    <w:rsid w:val="00AD1354"/>
    <w:rsid w:val="00AD15D1"/>
    <w:rsid w:val="00AD1783"/>
    <w:rsid w:val="00AD195C"/>
    <w:rsid w:val="00AD1C81"/>
    <w:rsid w:val="00AD2264"/>
    <w:rsid w:val="00AD28B4"/>
    <w:rsid w:val="00AD2926"/>
    <w:rsid w:val="00AD2A87"/>
    <w:rsid w:val="00AD2C01"/>
    <w:rsid w:val="00AD2C95"/>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DAD"/>
    <w:rsid w:val="00AD7ECB"/>
    <w:rsid w:val="00AE0147"/>
    <w:rsid w:val="00AE03BB"/>
    <w:rsid w:val="00AE09F6"/>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A6A"/>
    <w:rsid w:val="00AE5D9F"/>
    <w:rsid w:val="00AE60E5"/>
    <w:rsid w:val="00AE616F"/>
    <w:rsid w:val="00AE6415"/>
    <w:rsid w:val="00AE64EA"/>
    <w:rsid w:val="00AE68E9"/>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A49"/>
    <w:rsid w:val="00AF1F2E"/>
    <w:rsid w:val="00AF2158"/>
    <w:rsid w:val="00AF22E5"/>
    <w:rsid w:val="00AF22E6"/>
    <w:rsid w:val="00AF26A9"/>
    <w:rsid w:val="00AF2756"/>
    <w:rsid w:val="00AF2955"/>
    <w:rsid w:val="00AF29A7"/>
    <w:rsid w:val="00AF2ABA"/>
    <w:rsid w:val="00AF2B30"/>
    <w:rsid w:val="00AF2B5C"/>
    <w:rsid w:val="00AF3048"/>
    <w:rsid w:val="00AF3201"/>
    <w:rsid w:val="00AF3589"/>
    <w:rsid w:val="00AF3A15"/>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DC"/>
    <w:rsid w:val="00AF6EDB"/>
    <w:rsid w:val="00AF70AE"/>
    <w:rsid w:val="00AF70B0"/>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48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C6F"/>
    <w:rsid w:val="00B440B5"/>
    <w:rsid w:val="00B4419E"/>
    <w:rsid w:val="00B4443F"/>
    <w:rsid w:val="00B44440"/>
    <w:rsid w:val="00B44B13"/>
    <w:rsid w:val="00B44CD4"/>
    <w:rsid w:val="00B44E1D"/>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42F"/>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9CA"/>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75"/>
    <w:rsid w:val="00BA1434"/>
    <w:rsid w:val="00BA1E4B"/>
    <w:rsid w:val="00BA20BE"/>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8BA"/>
    <w:rsid w:val="00BA5A5D"/>
    <w:rsid w:val="00BA5B75"/>
    <w:rsid w:val="00BA60D9"/>
    <w:rsid w:val="00BA62B4"/>
    <w:rsid w:val="00BA63F4"/>
    <w:rsid w:val="00BA64A2"/>
    <w:rsid w:val="00BA6500"/>
    <w:rsid w:val="00BA6542"/>
    <w:rsid w:val="00BA662B"/>
    <w:rsid w:val="00BA6B57"/>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64B"/>
    <w:rsid w:val="00BC2C2C"/>
    <w:rsid w:val="00BC2D0C"/>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DF8"/>
    <w:rsid w:val="00BE19B0"/>
    <w:rsid w:val="00BE1D6C"/>
    <w:rsid w:val="00BE20E8"/>
    <w:rsid w:val="00BE2162"/>
    <w:rsid w:val="00BE2322"/>
    <w:rsid w:val="00BE2422"/>
    <w:rsid w:val="00BE2629"/>
    <w:rsid w:val="00BE2825"/>
    <w:rsid w:val="00BE2E91"/>
    <w:rsid w:val="00BE31DD"/>
    <w:rsid w:val="00BE35D9"/>
    <w:rsid w:val="00BE36E1"/>
    <w:rsid w:val="00BE3870"/>
    <w:rsid w:val="00BE3AEC"/>
    <w:rsid w:val="00BE3B50"/>
    <w:rsid w:val="00BE3D93"/>
    <w:rsid w:val="00BE3E61"/>
    <w:rsid w:val="00BE3ED2"/>
    <w:rsid w:val="00BE49C4"/>
    <w:rsid w:val="00BE4E22"/>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CEB"/>
    <w:rsid w:val="00BE7D01"/>
    <w:rsid w:val="00BF024F"/>
    <w:rsid w:val="00BF032A"/>
    <w:rsid w:val="00BF0498"/>
    <w:rsid w:val="00BF0649"/>
    <w:rsid w:val="00BF08BA"/>
    <w:rsid w:val="00BF0979"/>
    <w:rsid w:val="00BF0DA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8C5"/>
    <w:rsid w:val="00BF4F2C"/>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B48"/>
    <w:rsid w:val="00C03B93"/>
    <w:rsid w:val="00C03C1F"/>
    <w:rsid w:val="00C040CE"/>
    <w:rsid w:val="00C04175"/>
    <w:rsid w:val="00C04184"/>
    <w:rsid w:val="00C04306"/>
    <w:rsid w:val="00C04747"/>
    <w:rsid w:val="00C048DC"/>
    <w:rsid w:val="00C04999"/>
    <w:rsid w:val="00C04ACC"/>
    <w:rsid w:val="00C04D6E"/>
    <w:rsid w:val="00C04F74"/>
    <w:rsid w:val="00C04F7D"/>
    <w:rsid w:val="00C051D1"/>
    <w:rsid w:val="00C052B4"/>
    <w:rsid w:val="00C05A30"/>
    <w:rsid w:val="00C063BF"/>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990"/>
    <w:rsid w:val="00C14BAC"/>
    <w:rsid w:val="00C14D3C"/>
    <w:rsid w:val="00C1542D"/>
    <w:rsid w:val="00C158DF"/>
    <w:rsid w:val="00C15F0D"/>
    <w:rsid w:val="00C16401"/>
    <w:rsid w:val="00C16596"/>
    <w:rsid w:val="00C16726"/>
    <w:rsid w:val="00C16743"/>
    <w:rsid w:val="00C169CD"/>
    <w:rsid w:val="00C16CA8"/>
    <w:rsid w:val="00C16CC5"/>
    <w:rsid w:val="00C16CC9"/>
    <w:rsid w:val="00C16D1D"/>
    <w:rsid w:val="00C17571"/>
    <w:rsid w:val="00C17579"/>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C51"/>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6E8A"/>
    <w:rsid w:val="00C470D3"/>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95"/>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3DE"/>
    <w:rsid w:val="00C575EF"/>
    <w:rsid w:val="00C57958"/>
    <w:rsid w:val="00C57CE6"/>
    <w:rsid w:val="00C601D9"/>
    <w:rsid w:val="00C60397"/>
    <w:rsid w:val="00C60534"/>
    <w:rsid w:val="00C6082D"/>
    <w:rsid w:val="00C60B4B"/>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9C8"/>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294"/>
    <w:rsid w:val="00C76615"/>
    <w:rsid w:val="00C7666B"/>
    <w:rsid w:val="00C76A19"/>
    <w:rsid w:val="00C76BDC"/>
    <w:rsid w:val="00C76BFC"/>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CE7"/>
    <w:rsid w:val="00C83EB3"/>
    <w:rsid w:val="00C842FF"/>
    <w:rsid w:val="00C8432D"/>
    <w:rsid w:val="00C8448B"/>
    <w:rsid w:val="00C84627"/>
    <w:rsid w:val="00C84716"/>
    <w:rsid w:val="00C8489C"/>
    <w:rsid w:val="00C84B9F"/>
    <w:rsid w:val="00C84EDF"/>
    <w:rsid w:val="00C8554E"/>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7B0"/>
    <w:rsid w:val="00C929E2"/>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E9B"/>
    <w:rsid w:val="00CB2F05"/>
    <w:rsid w:val="00CB2F51"/>
    <w:rsid w:val="00CB3231"/>
    <w:rsid w:val="00CB32AD"/>
    <w:rsid w:val="00CB3735"/>
    <w:rsid w:val="00CB387A"/>
    <w:rsid w:val="00CB3968"/>
    <w:rsid w:val="00CB3E90"/>
    <w:rsid w:val="00CB439E"/>
    <w:rsid w:val="00CB445C"/>
    <w:rsid w:val="00CB4676"/>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CFF"/>
    <w:rsid w:val="00CC3743"/>
    <w:rsid w:val="00CC3769"/>
    <w:rsid w:val="00CC38F1"/>
    <w:rsid w:val="00CC3E05"/>
    <w:rsid w:val="00CC43EC"/>
    <w:rsid w:val="00CC45C6"/>
    <w:rsid w:val="00CC4C7F"/>
    <w:rsid w:val="00CC4CAF"/>
    <w:rsid w:val="00CC4D0F"/>
    <w:rsid w:val="00CC4D46"/>
    <w:rsid w:val="00CC5071"/>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282"/>
    <w:rsid w:val="00CD1462"/>
    <w:rsid w:val="00CD15C4"/>
    <w:rsid w:val="00CD1848"/>
    <w:rsid w:val="00CD1D4D"/>
    <w:rsid w:val="00CD2057"/>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9CC"/>
    <w:rsid w:val="00CD7A02"/>
    <w:rsid w:val="00CD7DC9"/>
    <w:rsid w:val="00CE0553"/>
    <w:rsid w:val="00CE0602"/>
    <w:rsid w:val="00CE0A3C"/>
    <w:rsid w:val="00CE0AC5"/>
    <w:rsid w:val="00CE0C8E"/>
    <w:rsid w:val="00CE0F06"/>
    <w:rsid w:val="00CE124D"/>
    <w:rsid w:val="00CE13AA"/>
    <w:rsid w:val="00CE1492"/>
    <w:rsid w:val="00CE1BC7"/>
    <w:rsid w:val="00CE229D"/>
    <w:rsid w:val="00CE2547"/>
    <w:rsid w:val="00CE25A3"/>
    <w:rsid w:val="00CE2B0C"/>
    <w:rsid w:val="00CE3553"/>
    <w:rsid w:val="00CE361A"/>
    <w:rsid w:val="00CE36DF"/>
    <w:rsid w:val="00CE37CF"/>
    <w:rsid w:val="00CE39C0"/>
    <w:rsid w:val="00CE39D8"/>
    <w:rsid w:val="00CE3EFA"/>
    <w:rsid w:val="00CE4586"/>
    <w:rsid w:val="00CE45F0"/>
    <w:rsid w:val="00CE4758"/>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D4C"/>
    <w:rsid w:val="00D13E42"/>
    <w:rsid w:val="00D14046"/>
    <w:rsid w:val="00D14687"/>
    <w:rsid w:val="00D14741"/>
    <w:rsid w:val="00D14C0C"/>
    <w:rsid w:val="00D1539E"/>
    <w:rsid w:val="00D1548A"/>
    <w:rsid w:val="00D1561B"/>
    <w:rsid w:val="00D15C2B"/>
    <w:rsid w:val="00D16136"/>
    <w:rsid w:val="00D164C8"/>
    <w:rsid w:val="00D16841"/>
    <w:rsid w:val="00D168E6"/>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4A5"/>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5F"/>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B2"/>
    <w:rsid w:val="00D416DF"/>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BAA"/>
    <w:rsid w:val="00D454DB"/>
    <w:rsid w:val="00D457F6"/>
    <w:rsid w:val="00D45891"/>
    <w:rsid w:val="00D45DC2"/>
    <w:rsid w:val="00D46BCB"/>
    <w:rsid w:val="00D46F55"/>
    <w:rsid w:val="00D4730E"/>
    <w:rsid w:val="00D474C3"/>
    <w:rsid w:val="00D47505"/>
    <w:rsid w:val="00D4755F"/>
    <w:rsid w:val="00D4799B"/>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42A"/>
    <w:rsid w:val="00D627A0"/>
    <w:rsid w:val="00D62887"/>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ABB"/>
    <w:rsid w:val="00D70B21"/>
    <w:rsid w:val="00D70C30"/>
    <w:rsid w:val="00D70E69"/>
    <w:rsid w:val="00D7115E"/>
    <w:rsid w:val="00D71219"/>
    <w:rsid w:val="00D715FC"/>
    <w:rsid w:val="00D7181F"/>
    <w:rsid w:val="00D71AFE"/>
    <w:rsid w:val="00D71BCD"/>
    <w:rsid w:val="00D71F8B"/>
    <w:rsid w:val="00D728B1"/>
    <w:rsid w:val="00D728B5"/>
    <w:rsid w:val="00D72947"/>
    <w:rsid w:val="00D72AF1"/>
    <w:rsid w:val="00D72C0D"/>
    <w:rsid w:val="00D72C9F"/>
    <w:rsid w:val="00D73319"/>
    <w:rsid w:val="00D73521"/>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A93"/>
    <w:rsid w:val="00D97EDD"/>
    <w:rsid w:val="00D97FF4"/>
    <w:rsid w:val="00DA0468"/>
    <w:rsid w:val="00DA05C5"/>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2E5"/>
    <w:rsid w:val="00DA3377"/>
    <w:rsid w:val="00DA36C9"/>
    <w:rsid w:val="00DA3B5C"/>
    <w:rsid w:val="00DA4119"/>
    <w:rsid w:val="00DA41EA"/>
    <w:rsid w:val="00DA436F"/>
    <w:rsid w:val="00DA4453"/>
    <w:rsid w:val="00DA4476"/>
    <w:rsid w:val="00DA44A0"/>
    <w:rsid w:val="00DA4A74"/>
    <w:rsid w:val="00DA4BF2"/>
    <w:rsid w:val="00DA4C71"/>
    <w:rsid w:val="00DA5489"/>
    <w:rsid w:val="00DA59FB"/>
    <w:rsid w:val="00DA5BF7"/>
    <w:rsid w:val="00DA5D6F"/>
    <w:rsid w:val="00DA640F"/>
    <w:rsid w:val="00DA6492"/>
    <w:rsid w:val="00DA67F6"/>
    <w:rsid w:val="00DA6A6A"/>
    <w:rsid w:val="00DA6D15"/>
    <w:rsid w:val="00DA760A"/>
    <w:rsid w:val="00DA76DF"/>
    <w:rsid w:val="00DA7719"/>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B09"/>
    <w:rsid w:val="00DC2E1B"/>
    <w:rsid w:val="00DC3262"/>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167"/>
    <w:rsid w:val="00DD5CA0"/>
    <w:rsid w:val="00DD5CAC"/>
    <w:rsid w:val="00DD5D0B"/>
    <w:rsid w:val="00DD5EDC"/>
    <w:rsid w:val="00DD5F17"/>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34"/>
    <w:rsid w:val="00DF156E"/>
    <w:rsid w:val="00DF20E3"/>
    <w:rsid w:val="00DF212F"/>
    <w:rsid w:val="00DF25BA"/>
    <w:rsid w:val="00DF27BE"/>
    <w:rsid w:val="00DF2927"/>
    <w:rsid w:val="00DF29DE"/>
    <w:rsid w:val="00DF2A59"/>
    <w:rsid w:val="00DF2B23"/>
    <w:rsid w:val="00DF2CBD"/>
    <w:rsid w:val="00DF2DB2"/>
    <w:rsid w:val="00DF2EB7"/>
    <w:rsid w:val="00DF311E"/>
    <w:rsid w:val="00DF35D4"/>
    <w:rsid w:val="00DF36D4"/>
    <w:rsid w:val="00DF390C"/>
    <w:rsid w:val="00DF3A96"/>
    <w:rsid w:val="00DF3CF5"/>
    <w:rsid w:val="00DF4362"/>
    <w:rsid w:val="00DF4395"/>
    <w:rsid w:val="00DF4457"/>
    <w:rsid w:val="00DF4990"/>
    <w:rsid w:val="00DF4A72"/>
    <w:rsid w:val="00DF4B13"/>
    <w:rsid w:val="00DF4BBD"/>
    <w:rsid w:val="00DF5179"/>
    <w:rsid w:val="00DF5BB7"/>
    <w:rsid w:val="00DF5BFF"/>
    <w:rsid w:val="00DF5C15"/>
    <w:rsid w:val="00DF6089"/>
    <w:rsid w:val="00DF67B9"/>
    <w:rsid w:val="00DF69C2"/>
    <w:rsid w:val="00DF6B1F"/>
    <w:rsid w:val="00DF6CB3"/>
    <w:rsid w:val="00DF7171"/>
    <w:rsid w:val="00DF72FC"/>
    <w:rsid w:val="00DF72FD"/>
    <w:rsid w:val="00DF76C1"/>
    <w:rsid w:val="00DF7816"/>
    <w:rsid w:val="00DF7B84"/>
    <w:rsid w:val="00DF7E78"/>
    <w:rsid w:val="00E00324"/>
    <w:rsid w:val="00E004A4"/>
    <w:rsid w:val="00E006B5"/>
    <w:rsid w:val="00E009D5"/>
    <w:rsid w:val="00E00FE0"/>
    <w:rsid w:val="00E011AD"/>
    <w:rsid w:val="00E0139C"/>
    <w:rsid w:val="00E0192B"/>
    <w:rsid w:val="00E0196A"/>
    <w:rsid w:val="00E01C26"/>
    <w:rsid w:val="00E01FF8"/>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AC9"/>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12BF"/>
    <w:rsid w:val="00E1211F"/>
    <w:rsid w:val="00E1224C"/>
    <w:rsid w:val="00E12303"/>
    <w:rsid w:val="00E123E5"/>
    <w:rsid w:val="00E12480"/>
    <w:rsid w:val="00E1278F"/>
    <w:rsid w:val="00E12A72"/>
    <w:rsid w:val="00E12AEA"/>
    <w:rsid w:val="00E12AEF"/>
    <w:rsid w:val="00E12CAB"/>
    <w:rsid w:val="00E12F38"/>
    <w:rsid w:val="00E14225"/>
    <w:rsid w:val="00E1446D"/>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8C0"/>
    <w:rsid w:val="00E219A8"/>
    <w:rsid w:val="00E21BA2"/>
    <w:rsid w:val="00E21C27"/>
    <w:rsid w:val="00E21C38"/>
    <w:rsid w:val="00E22345"/>
    <w:rsid w:val="00E229AE"/>
    <w:rsid w:val="00E22CDD"/>
    <w:rsid w:val="00E22DA8"/>
    <w:rsid w:val="00E2306E"/>
    <w:rsid w:val="00E23087"/>
    <w:rsid w:val="00E232D1"/>
    <w:rsid w:val="00E234BB"/>
    <w:rsid w:val="00E235CF"/>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A82"/>
    <w:rsid w:val="00E40C31"/>
    <w:rsid w:val="00E40C59"/>
    <w:rsid w:val="00E41033"/>
    <w:rsid w:val="00E4110E"/>
    <w:rsid w:val="00E413BD"/>
    <w:rsid w:val="00E41A0B"/>
    <w:rsid w:val="00E41BFE"/>
    <w:rsid w:val="00E41C2A"/>
    <w:rsid w:val="00E41E26"/>
    <w:rsid w:val="00E41ED5"/>
    <w:rsid w:val="00E42E81"/>
    <w:rsid w:val="00E42EAE"/>
    <w:rsid w:val="00E43000"/>
    <w:rsid w:val="00E43151"/>
    <w:rsid w:val="00E434E5"/>
    <w:rsid w:val="00E4375A"/>
    <w:rsid w:val="00E438AE"/>
    <w:rsid w:val="00E4450C"/>
    <w:rsid w:val="00E4464E"/>
    <w:rsid w:val="00E4475B"/>
    <w:rsid w:val="00E447D9"/>
    <w:rsid w:val="00E4483F"/>
    <w:rsid w:val="00E44D6D"/>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44"/>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54B"/>
    <w:rsid w:val="00E66A33"/>
    <w:rsid w:val="00E66B94"/>
    <w:rsid w:val="00E66DD8"/>
    <w:rsid w:val="00E672CD"/>
    <w:rsid w:val="00E67437"/>
    <w:rsid w:val="00E675C3"/>
    <w:rsid w:val="00E67693"/>
    <w:rsid w:val="00E67776"/>
    <w:rsid w:val="00E6795C"/>
    <w:rsid w:val="00E67F8A"/>
    <w:rsid w:val="00E7091D"/>
    <w:rsid w:val="00E713BF"/>
    <w:rsid w:val="00E715D3"/>
    <w:rsid w:val="00E71D05"/>
    <w:rsid w:val="00E71EF4"/>
    <w:rsid w:val="00E721BB"/>
    <w:rsid w:val="00E72392"/>
    <w:rsid w:val="00E726B5"/>
    <w:rsid w:val="00E72764"/>
    <w:rsid w:val="00E72898"/>
    <w:rsid w:val="00E72985"/>
    <w:rsid w:val="00E72D0D"/>
    <w:rsid w:val="00E72DD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908"/>
    <w:rsid w:val="00E74A04"/>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1B8"/>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D56"/>
    <w:rsid w:val="00E85EAA"/>
    <w:rsid w:val="00E86126"/>
    <w:rsid w:val="00E86144"/>
    <w:rsid w:val="00E8625D"/>
    <w:rsid w:val="00E86662"/>
    <w:rsid w:val="00E86712"/>
    <w:rsid w:val="00E8673A"/>
    <w:rsid w:val="00E86AC8"/>
    <w:rsid w:val="00E86B3A"/>
    <w:rsid w:val="00E86EF6"/>
    <w:rsid w:val="00E87228"/>
    <w:rsid w:val="00E87229"/>
    <w:rsid w:val="00E8727E"/>
    <w:rsid w:val="00E87816"/>
    <w:rsid w:val="00E8782C"/>
    <w:rsid w:val="00E87DE7"/>
    <w:rsid w:val="00E9000E"/>
    <w:rsid w:val="00E900EC"/>
    <w:rsid w:val="00E90915"/>
    <w:rsid w:val="00E9099B"/>
    <w:rsid w:val="00E9121C"/>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67"/>
    <w:rsid w:val="00EA6FE7"/>
    <w:rsid w:val="00EA7276"/>
    <w:rsid w:val="00EA73EB"/>
    <w:rsid w:val="00EA7440"/>
    <w:rsid w:val="00EA7834"/>
    <w:rsid w:val="00EA7D28"/>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D02"/>
    <w:rsid w:val="00EF1EF8"/>
    <w:rsid w:val="00EF20ED"/>
    <w:rsid w:val="00EF2684"/>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44E"/>
    <w:rsid w:val="00F005C6"/>
    <w:rsid w:val="00F0088F"/>
    <w:rsid w:val="00F0095A"/>
    <w:rsid w:val="00F0096D"/>
    <w:rsid w:val="00F00CC2"/>
    <w:rsid w:val="00F00EB1"/>
    <w:rsid w:val="00F012AA"/>
    <w:rsid w:val="00F012FE"/>
    <w:rsid w:val="00F01565"/>
    <w:rsid w:val="00F01633"/>
    <w:rsid w:val="00F017C5"/>
    <w:rsid w:val="00F01F30"/>
    <w:rsid w:val="00F01FC3"/>
    <w:rsid w:val="00F02183"/>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22"/>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9BF"/>
    <w:rsid w:val="00F25B75"/>
    <w:rsid w:val="00F261C3"/>
    <w:rsid w:val="00F262F9"/>
    <w:rsid w:val="00F2664A"/>
    <w:rsid w:val="00F26A52"/>
    <w:rsid w:val="00F26E9E"/>
    <w:rsid w:val="00F2758A"/>
    <w:rsid w:val="00F2792C"/>
    <w:rsid w:val="00F27AA2"/>
    <w:rsid w:val="00F27AC7"/>
    <w:rsid w:val="00F30314"/>
    <w:rsid w:val="00F308D7"/>
    <w:rsid w:val="00F30A69"/>
    <w:rsid w:val="00F30B06"/>
    <w:rsid w:val="00F31256"/>
    <w:rsid w:val="00F31793"/>
    <w:rsid w:val="00F318A7"/>
    <w:rsid w:val="00F31C12"/>
    <w:rsid w:val="00F31C57"/>
    <w:rsid w:val="00F31E8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393"/>
    <w:rsid w:val="00F51BCE"/>
    <w:rsid w:val="00F51BF4"/>
    <w:rsid w:val="00F51E85"/>
    <w:rsid w:val="00F521AF"/>
    <w:rsid w:val="00F5221A"/>
    <w:rsid w:val="00F52407"/>
    <w:rsid w:val="00F5276F"/>
    <w:rsid w:val="00F527DD"/>
    <w:rsid w:val="00F52B51"/>
    <w:rsid w:val="00F52CC9"/>
    <w:rsid w:val="00F52E24"/>
    <w:rsid w:val="00F53170"/>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1F59"/>
    <w:rsid w:val="00F720A2"/>
    <w:rsid w:val="00F723B8"/>
    <w:rsid w:val="00F7259B"/>
    <w:rsid w:val="00F727EB"/>
    <w:rsid w:val="00F72B7A"/>
    <w:rsid w:val="00F73075"/>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F22"/>
    <w:rsid w:val="00F9011F"/>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4F"/>
    <w:rsid w:val="00FA270C"/>
    <w:rsid w:val="00FA2AD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B7A"/>
    <w:rsid w:val="00FB4067"/>
    <w:rsid w:val="00FB444C"/>
    <w:rsid w:val="00FB4497"/>
    <w:rsid w:val="00FB45D3"/>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1B1"/>
    <w:rsid w:val="00FD2244"/>
    <w:rsid w:val="00FD224D"/>
    <w:rsid w:val="00FD29DE"/>
    <w:rsid w:val="00FD2A48"/>
    <w:rsid w:val="00FD2A81"/>
    <w:rsid w:val="00FD2AD8"/>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9C1"/>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 w:val="013D6F71"/>
    <w:rsid w:val="01636D41"/>
    <w:rsid w:val="01651E70"/>
    <w:rsid w:val="01780E1F"/>
    <w:rsid w:val="018C705C"/>
    <w:rsid w:val="01963534"/>
    <w:rsid w:val="01AD105E"/>
    <w:rsid w:val="01B85CFE"/>
    <w:rsid w:val="01EC5904"/>
    <w:rsid w:val="020B64C6"/>
    <w:rsid w:val="0210087D"/>
    <w:rsid w:val="0254496F"/>
    <w:rsid w:val="02590ECE"/>
    <w:rsid w:val="0263075E"/>
    <w:rsid w:val="02816A16"/>
    <w:rsid w:val="02911C0E"/>
    <w:rsid w:val="02B23334"/>
    <w:rsid w:val="02CB318E"/>
    <w:rsid w:val="02E60F49"/>
    <w:rsid w:val="02F75AF2"/>
    <w:rsid w:val="02FA772F"/>
    <w:rsid w:val="030628EF"/>
    <w:rsid w:val="032979AF"/>
    <w:rsid w:val="033624DF"/>
    <w:rsid w:val="035A17B2"/>
    <w:rsid w:val="0364021E"/>
    <w:rsid w:val="03663A2A"/>
    <w:rsid w:val="03705764"/>
    <w:rsid w:val="03736763"/>
    <w:rsid w:val="03A06A49"/>
    <w:rsid w:val="03A66738"/>
    <w:rsid w:val="03AD28EF"/>
    <w:rsid w:val="03AD2B09"/>
    <w:rsid w:val="03C551FF"/>
    <w:rsid w:val="03CA4BC5"/>
    <w:rsid w:val="03CD42FF"/>
    <w:rsid w:val="03D05425"/>
    <w:rsid w:val="03EA1CFF"/>
    <w:rsid w:val="03ED1A58"/>
    <w:rsid w:val="03EF11E1"/>
    <w:rsid w:val="03F25073"/>
    <w:rsid w:val="0407149F"/>
    <w:rsid w:val="04222EF0"/>
    <w:rsid w:val="04251C2B"/>
    <w:rsid w:val="042827BF"/>
    <w:rsid w:val="043B4BBE"/>
    <w:rsid w:val="04891255"/>
    <w:rsid w:val="048B728A"/>
    <w:rsid w:val="04AC35F7"/>
    <w:rsid w:val="04AC52FB"/>
    <w:rsid w:val="04B42B59"/>
    <w:rsid w:val="04BE11AE"/>
    <w:rsid w:val="04DF01BD"/>
    <w:rsid w:val="04E26543"/>
    <w:rsid w:val="051B5F92"/>
    <w:rsid w:val="052A14E7"/>
    <w:rsid w:val="052A64E9"/>
    <w:rsid w:val="053A1C6F"/>
    <w:rsid w:val="057E01D9"/>
    <w:rsid w:val="05A56BB5"/>
    <w:rsid w:val="05CA4822"/>
    <w:rsid w:val="05CC1FD8"/>
    <w:rsid w:val="05CF0362"/>
    <w:rsid w:val="05D10E9A"/>
    <w:rsid w:val="05D32D84"/>
    <w:rsid w:val="05D7661F"/>
    <w:rsid w:val="05DC59BB"/>
    <w:rsid w:val="05FC1701"/>
    <w:rsid w:val="060E3A4E"/>
    <w:rsid w:val="062D0004"/>
    <w:rsid w:val="063A4316"/>
    <w:rsid w:val="06625EB3"/>
    <w:rsid w:val="066D797B"/>
    <w:rsid w:val="06811C9D"/>
    <w:rsid w:val="06842305"/>
    <w:rsid w:val="068B1A17"/>
    <w:rsid w:val="06926190"/>
    <w:rsid w:val="069E5179"/>
    <w:rsid w:val="06A27BF1"/>
    <w:rsid w:val="06A966F0"/>
    <w:rsid w:val="06AF2B54"/>
    <w:rsid w:val="06CD5F42"/>
    <w:rsid w:val="06D24771"/>
    <w:rsid w:val="06D626BD"/>
    <w:rsid w:val="070263EC"/>
    <w:rsid w:val="070265EF"/>
    <w:rsid w:val="07086832"/>
    <w:rsid w:val="07313446"/>
    <w:rsid w:val="07457F2F"/>
    <w:rsid w:val="07663B0C"/>
    <w:rsid w:val="076765E4"/>
    <w:rsid w:val="07700142"/>
    <w:rsid w:val="078A2B93"/>
    <w:rsid w:val="07961FBF"/>
    <w:rsid w:val="079D21B1"/>
    <w:rsid w:val="07C44C77"/>
    <w:rsid w:val="07C90E92"/>
    <w:rsid w:val="07E227F9"/>
    <w:rsid w:val="07F247A2"/>
    <w:rsid w:val="07F3763F"/>
    <w:rsid w:val="07F74126"/>
    <w:rsid w:val="07FE1CA4"/>
    <w:rsid w:val="08190451"/>
    <w:rsid w:val="081A2BDD"/>
    <w:rsid w:val="0837062F"/>
    <w:rsid w:val="083F0B6F"/>
    <w:rsid w:val="084B6C81"/>
    <w:rsid w:val="084F40CE"/>
    <w:rsid w:val="08587564"/>
    <w:rsid w:val="087D5321"/>
    <w:rsid w:val="089C541C"/>
    <w:rsid w:val="08A12D8B"/>
    <w:rsid w:val="08A1519A"/>
    <w:rsid w:val="08AD7352"/>
    <w:rsid w:val="08B10C46"/>
    <w:rsid w:val="08CF26D9"/>
    <w:rsid w:val="08CF5DD6"/>
    <w:rsid w:val="08D649BB"/>
    <w:rsid w:val="08E14ED5"/>
    <w:rsid w:val="08EC080A"/>
    <w:rsid w:val="08EF3AF5"/>
    <w:rsid w:val="08FC454D"/>
    <w:rsid w:val="090E43AD"/>
    <w:rsid w:val="092267A1"/>
    <w:rsid w:val="093352C8"/>
    <w:rsid w:val="094A3425"/>
    <w:rsid w:val="094B3478"/>
    <w:rsid w:val="09521F45"/>
    <w:rsid w:val="09973371"/>
    <w:rsid w:val="09A04D3F"/>
    <w:rsid w:val="09A63558"/>
    <w:rsid w:val="09A72A18"/>
    <w:rsid w:val="09C95166"/>
    <w:rsid w:val="09DE297E"/>
    <w:rsid w:val="09F01539"/>
    <w:rsid w:val="0A057456"/>
    <w:rsid w:val="0A340D57"/>
    <w:rsid w:val="0A5E54BB"/>
    <w:rsid w:val="0AAB733F"/>
    <w:rsid w:val="0ABA06F0"/>
    <w:rsid w:val="0ABE7BB8"/>
    <w:rsid w:val="0AC42A22"/>
    <w:rsid w:val="0AE27C3A"/>
    <w:rsid w:val="0B0E7577"/>
    <w:rsid w:val="0B1105A4"/>
    <w:rsid w:val="0B261605"/>
    <w:rsid w:val="0B3D6687"/>
    <w:rsid w:val="0B78261E"/>
    <w:rsid w:val="0B7D3E3B"/>
    <w:rsid w:val="0BA00657"/>
    <w:rsid w:val="0BAE3EB4"/>
    <w:rsid w:val="0BC74117"/>
    <w:rsid w:val="0BCB58F1"/>
    <w:rsid w:val="0BCF4FC3"/>
    <w:rsid w:val="0BE80418"/>
    <w:rsid w:val="0BF52A54"/>
    <w:rsid w:val="0BFC77DA"/>
    <w:rsid w:val="0BFE7534"/>
    <w:rsid w:val="0C1C16ED"/>
    <w:rsid w:val="0C300595"/>
    <w:rsid w:val="0C315A08"/>
    <w:rsid w:val="0C55338F"/>
    <w:rsid w:val="0C7E6BBF"/>
    <w:rsid w:val="0C9F7471"/>
    <w:rsid w:val="0CB30221"/>
    <w:rsid w:val="0CD957AA"/>
    <w:rsid w:val="0CEE1332"/>
    <w:rsid w:val="0D11788B"/>
    <w:rsid w:val="0D1727FB"/>
    <w:rsid w:val="0D190D03"/>
    <w:rsid w:val="0D3825BE"/>
    <w:rsid w:val="0D652B72"/>
    <w:rsid w:val="0D704C8F"/>
    <w:rsid w:val="0D7466F5"/>
    <w:rsid w:val="0D8F5055"/>
    <w:rsid w:val="0DA05989"/>
    <w:rsid w:val="0DF144F2"/>
    <w:rsid w:val="0DF153A1"/>
    <w:rsid w:val="0DF363EA"/>
    <w:rsid w:val="0DF501D1"/>
    <w:rsid w:val="0E02670A"/>
    <w:rsid w:val="0E0D21D0"/>
    <w:rsid w:val="0E19514C"/>
    <w:rsid w:val="0E21445D"/>
    <w:rsid w:val="0E514607"/>
    <w:rsid w:val="0E595800"/>
    <w:rsid w:val="0E640EEC"/>
    <w:rsid w:val="0E646C4C"/>
    <w:rsid w:val="0E655187"/>
    <w:rsid w:val="0E792BCB"/>
    <w:rsid w:val="0E817C0D"/>
    <w:rsid w:val="0EA13C56"/>
    <w:rsid w:val="0EAA7CFD"/>
    <w:rsid w:val="0EAE3E2D"/>
    <w:rsid w:val="0EB318DE"/>
    <w:rsid w:val="0EC23165"/>
    <w:rsid w:val="0EC4122E"/>
    <w:rsid w:val="0ED96555"/>
    <w:rsid w:val="0EDC64AF"/>
    <w:rsid w:val="0F156B37"/>
    <w:rsid w:val="0F3149D0"/>
    <w:rsid w:val="0F3379C5"/>
    <w:rsid w:val="0F446DA2"/>
    <w:rsid w:val="0F7859C0"/>
    <w:rsid w:val="0F7B0F67"/>
    <w:rsid w:val="0F8B64A8"/>
    <w:rsid w:val="0F8B6A7D"/>
    <w:rsid w:val="0FA51830"/>
    <w:rsid w:val="0FC6018D"/>
    <w:rsid w:val="0FCE732A"/>
    <w:rsid w:val="0FD53CC0"/>
    <w:rsid w:val="101236D8"/>
    <w:rsid w:val="101A1193"/>
    <w:rsid w:val="10241F33"/>
    <w:rsid w:val="102A4A5B"/>
    <w:rsid w:val="102E4206"/>
    <w:rsid w:val="103447BE"/>
    <w:rsid w:val="10611403"/>
    <w:rsid w:val="107113A6"/>
    <w:rsid w:val="107639F8"/>
    <w:rsid w:val="10797D1C"/>
    <w:rsid w:val="10A512A0"/>
    <w:rsid w:val="10AE0EDE"/>
    <w:rsid w:val="10D841BB"/>
    <w:rsid w:val="10DA1C55"/>
    <w:rsid w:val="10F84FB6"/>
    <w:rsid w:val="10FE148A"/>
    <w:rsid w:val="110932AA"/>
    <w:rsid w:val="110C723D"/>
    <w:rsid w:val="11122F2D"/>
    <w:rsid w:val="11345BB0"/>
    <w:rsid w:val="114F16D2"/>
    <w:rsid w:val="114F30A9"/>
    <w:rsid w:val="11683084"/>
    <w:rsid w:val="1182106E"/>
    <w:rsid w:val="11B53347"/>
    <w:rsid w:val="11CD595B"/>
    <w:rsid w:val="11CE6176"/>
    <w:rsid w:val="11FE4208"/>
    <w:rsid w:val="11FE4DF6"/>
    <w:rsid w:val="126A4519"/>
    <w:rsid w:val="12AF45B4"/>
    <w:rsid w:val="12B05001"/>
    <w:rsid w:val="12C67CAA"/>
    <w:rsid w:val="12E26A09"/>
    <w:rsid w:val="12F667CD"/>
    <w:rsid w:val="12FD367F"/>
    <w:rsid w:val="13055E8B"/>
    <w:rsid w:val="131C4BE9"/>
    <w:rsid w:val="131F06D9"/>
    <w:rsid w:val="13251A5C"/>
    <w:rsid w:val="134D0C34"/>
    <w:rsid w:val="134E4423"/>
    <w:rsid w:val="1359437E"/>
    <w:rsid w:val="1369663C"/>
    <w:rsid w:val="137C5854"/>
    <w:rsid w:val="137E02B6"/>
    <w:rsid w:val="14133404"/>
    <w:rsid w:val="141662D5"/>
    <w:rsid w:val="14173183"/>
    <w:rsid w:val="143760E2"/>
    <w:rsid w:val="14526B1D"/>
    <w:rsid w:val="145E5731"/>
    <w:rsid w:val="148422F7"/>
    <w:rsid w:val="14921624"/>
    <w:rsid w:val="14AA358A"/>
    <w:rsid w:val="14D577BC"/>
    <w:rsid w:val="14F17C95"/>
    <w:rsid w:val="14F21BB5"/>
    <w:rsid w:val="15064C7B"/>
    <w:rsid w:val="15125F0F"/>
    <w:rsid w:val="1514212E"/>
    <w:rsid w:val="153932B2"/>
    <w:rsid w:val="154C60B5"/>
    <w:rsid w:val="154F724C"/>
    <w:rsid w:val="155E63CC"/>
    <w:rsid w:val="156F2065"/>
    <w:rsid w:val="15723159"/>
    <w:rsid w:val="158234C3"/>
    <w:rsid w:val="15B27B58"/>
    <w:rsid w:val="15BD1CB8"/>
    <w:rsid w:val="15C2442B"/>
    <w:rsid w:val="15DE16FF"/>
    <w:rsid w:val="15F30912"/>
    <w:rsid w:val="15F47171"/>
    <w:rsid w:val="15F7796F"/>
    <w:rsid w:val="15FF2640"/>
    <w:rsid w:val="15FF5EF9"/>
    <w:rsid w:val="1602232A"/>
    <w:rsid w:val="1607316E"/>
    <w:rsid w:val="160C6AAA"/>
    <w:rsid w:val="16136961"/>
    <w:rsid w:val="16281E46"/>
    <w:rsid w:val="1640665E"/>
    <w:rsid w:val="165607D3"/>
    <w:rsid w:val="165E78B2"/>
    <w:rsid w:val="16645125"/>
    <w:rsid w:val="166B1337"/>
    <w:rsid w:val="16824DF7"/>
    <w:rsid w:val="168C4FF2"/>
    <w:rsid w:val="16BE39E9"/>
    <w:rsid w:val="16E01545"/>
    <w:rsid w:val="16F97BDE"/>
    <w:rsid w:val="17054D2B"/>
    <w:rsid w:val="1739698C"/>
    <w:rsid w:val="174A616B"/>
    <w:rsid w:val="177B3BA5"/>
    <w:rsid w:val="17AA7DD5"/>
    <w:rsid w:val="17AC24B0"/>
    <w:rsid w:val="17C20E1B"/>
    <w:rsid w:val="17CE4992"/>
    <w:rsid w:val="17D80A06"/>
    <w:rsid w:val="17F322B2"/>
    <w:rsid w:val="17F742B6"/>
    <w:rsid w:val="180B67D5"/>
    <w:rsid w:val="18136E70"/>
    <w:rsid w:val="181C5228"/>
    <w:rsid w:val="18226EDE"/>
    <w:rsid w:val="18534C5C"/>
    <w:rsid w:val="185433BD"/>
    <w:rsid w:val="1865608A"/>
    <w:rsid w:val="186F4FB5"/>
    <w:rsid w:val="189D247A"/>
    <w:rsid w:val="18AB1068"/>
    <w:rsid w:val="18B8291A"/>
    <w:rsid w:val="18C03451"/>
    <w:rsid w:val="18C343A0"/>
    <w:rsid w:val="18C563DC"/>
    <w:rsid w:val="19101FC3"/>
    <w:rsid w:val="192D164C"/>
    <w:rsid w:val="1950570D"/>
    <w:rsid w:val="19604CBC"/>
    <w:rsid w:val="19B476A3"/>
    <w:rsid w:val="19C41149"/>
    <w:rsid w:val="19C51754"/>
    <w:rsid w:val="19C71E55"/>
    <w:rsid w:val="19DC27FE"/>
    <w:rsid w:val="19E607BA"/>
    <w:rsid w:val="19E863DB"/>
    <w:rsid w:val="19EB7243"/>
    <w:rsid w:val="1A032FF5"/>
    <w:rsid w:val="1A100D82"/>
    <w:rsid w:val="1A110726"/>
    <w:rsid w:val="1A19214D"/>
    <w:rsid w:val="1A2C714E"/>
    <w:rsid w:val="1A2F497E"/>
    <w:rsid w:val="1A4F7538"/>
    <w:rsid w:val="1A573A96"/>
    <w:rsid w:val="1A5949AF"/>
    <w:rsid w:val="1A5F0684"/>
    <w:rsid w:val="1A694CA0"/>
    <w:rsid w:val="1A711815"/>
    <w:rsid w:val="1A8650BB"/>
    <w:rsid w:val="1AA7641A"/>
    <w:rsid w:val="1AB75473"/>
    <w:rsid w:val="1AC63C1B"/>
    <w:rsid w:val="1ADB6A7B"/>
    <w:rsid w:val="1ADF7266"/>
    <w:rsid w:val="1AEB451C"/>
    <w:rsid w:val="1B020921"/>
    <w:rsid w:val="1B037A18"/>
    <w:rsid w:val="1B1511C2"/>
    <w:rsid w:val="1B1E3089"/>
    <w:rsid w:val="1B2A1336"/>
    <w:rsid w:val="1B3B20FA"/>
    <w:rsid w:val="1B3C2D73"/>
    <w:rsid w:val="1B45401A"/>
    <w:rsid w:val="1B63544D"/>
    <w:rsid w:val="1B695370"/>
    <w:rsid w:val="1B7975E3"/>
    <w:rsid w:val="1B9A50B4"/>
    <w:rsid w:val="1BA54D43"/>
    <w:rsid w:val="1BA8258E"/>
    <w:rsid w:val="1BBA6D0F"/>
    <w:rsid w:val="1BCD45EC"/>
    <w:rsid w:val="1BCF5BAB"/>
    <w:rsid w:val="1C230F93"/>
    <w:rsid w:val="1C363BF9"/>
    <w:rsid w:val="1CA45BB8"/>
    <w:rsid w:val="1CBF176F"/>
    <w:rsid w:val="1CC370F6"/>
    <w:rsid w:val="1CCD4946"/>
    <w:rsid w:val="1D0474C9"/>
    <w:rsid w:val="1D0D368B"/>
    <w:rsid w:val="1D173AB6"/>
    <w:rsid w:val="1D187EBB"/>
    <w:rsid w:val="1D37298A"/>
    <w:rsid w:val="1D3F573B"/>
    <w:rsid w:val="1D57266A"/>
    <w:rsid w:val="1D71367F"/>
    <w:rsid w:val="1D72312A"/>
    <w:rsid w:val="1D8173E6"/>
    <w:rsid w:val="1D8B5A63"/>
    <w:rsid w:val="1DA00582"/>
    <w:rsid w:val="1DBE0159"/>
    <w:rsid w:val="1DBF15E9"/>
    <w:rsid w:val="1DC128C3"/>
    <w:rsid w:val="1DCE4D3E"/>
    <w:rsid w:val="1DD639FE"/>
    <w:rsid w:val="1E1D31C7"/>
    <w:rsid w:val="1E252A2D"/>
    <w:rsid w:val="1E2830DF"/>
    <w:rsid w:val="1E37476D"/>
    <w:rsid w:val="1E5209CD"/>
    <w:rsid w:val="1EBD4274"/>
    <w:rsid w:val="1ED84D1E"/>
    <w:rsid w:val="1EF83B99"/>
    <w:rsid w:val="1EFB417F"/>
    <w:rsid w:val="1F0D0574"/>
    <w:rsid w:val="1F502DA6"/>
    <w:rsid w:val="1F763CCA"/>
    <w:rsid w:val="1F942467"/>
    <w:rsid w:val="1F996E3C"/>
    <w:rsid w:val="1F9C39C9"/>
    <w:rsid w:val="1F9E4E4C"/>
    <w:rsid w:val="1FBB56F3"/>
    <w:rsid w:val="1FC03EF2"/>
    <w:rsid w:val="1FC74D1B"/>
    <w:rsid w:val="1FC87651"/>
    <w:rsid w:val="1FD04333"/>
    <w:rsid w:val="1FD06351"/>
    <w:rsid w:val="1FDA47B1"/>
    <w:rsid w:val="1FF61D25"/>
    <w:rsid w:val="1FFD3B6A"/>
    <w:rsid w:val="20040E42"/>
    <w:rsid w:val="20435182"/>
    <w:rsid w:val="204A1EC9"/>
    <w:rsid w:val="205966D6"/>
    <w:rsid w:val="20806EFA"/>
    <w:rsid w:val="208A25A7"/>
    <w:rsid w:val="20A51DE1"/>
    <w:rsid w:val="20A867B6"/>
    <w:rsid w:val="20B51C50"/>
    <w:rsid w:val="20B54822"/>
    <w:rsid w:val="20C637AC"/>
    <w:rsid w:val="21114230"/>
    <w:rsid w:val="2119668E"/>
    <w:rsid w:val="211A20DA"/>
    <w:rsid w:val="2134023C"/>
    <w:rsid w:val="214B24AF"/>
    <w:rsid w:val="215215F8"/>
    <w:rsid w:val="21554C66"/>
    <w:rsid w:val="217E18D6"/>
    <w:rsid w:val="217E4C9B"/>
    <w:rsid w:val="21A85973"/>
    <w:rsid w:val="21B121C4"/>
    <w:rsid w:val="21C22593"/>
    <w:rsid w:val="21C771CB"/>
    <w:rsid w:val="21F15A2C"/>
    <w:rsid w:val="21F95701"/>
    <w:rsid w:val="221E5D8B"/>
    <w:rsid w:val="222F6CA1"/>
    <w:rsid w:val="223335C9"/>
    <w:rsid w:val="2269234C"/>
    <w:rsid w:val="22747DDB"/>
    <w:rsid w:val="227849E0"/>
    <w:rsid w:val="22811271"/>
    <w:rsid w:val="228C6AE9"/>
    <w:rsid w:val="22B53180"/>
    <w:rsid w:val="22C01785"/>
    <w:rsid w:val="22D0325A"/>
    <w:rsid w:val="22F44EC0"/>
    <w:rsid w:val="22F9232A"/>
    <w:rsid w:val="230D2136"/>
    <w:rsid w:val="23533E3C"/>
    <w:rsid w:val="23555FBD"/>
    <w:rsid w:val="235614B8"/>
    <w:rsid w:val="237E1085"/>
    <w:rsid w:val="2389578A"/>
    <w:rsid w:val="238E0CC2"/>
    <w:rsid w:val="23A7544E"/>
    <w:rsid w:val="23B42D0A"/>
    <w:rsid w:val="23BF2648"/>
    <w:rsid w:val="23C96B56"/>
    <w:rsid w:val="23E438DC"/>
    <w:rsid w:val="23F14891"/>
    <w:rsid w:val="240A5ACF"/>
    <w:rsid w:val="24342583"/>
    <w:rsid w:val="244C529B"/>
    <w:rsid w:val="24595EA9"/>
    <w:rsid w:val="245A3EC1"/>
    <w:rsid w:val="24792050"/>
    <w:rsid w:val="248B6569"/>
    <w:rsid w:val="24A25054"/>
    <w:rsid w:val="24A5338B"/>
    <w:rsid w:val="24A770BC"/>
    <w:rsid w:val="24D36A17"/>
    <w:rsid w:val="24EC2FF7"/>
    <w:rsid w:val="25143F64"/>
    <w:rsid w:val="25170823"/>
    <w:rsid w:val="254A6653"/>
    <w:rsid w:val="25555C08"/>
    <w:rsid w:val="255B001A"/>
    <w:rsid w:val="25610B65"/>
    <w:rsid w:val="25687BEB"/>
    <w:rsid w:val="257860F1"/>
    <w:rsid w:val="257A5F33"/>
    <w:rsid w:val="25826B54"/>
    <w:rsid w:val="258A778D"/>
    <w:rsid w:val="25953DB7"/>
    <w:rsid w:val="25A13B8D"/>
    <w:rsid w:val="25AF0139"/>
    <w:rsid w:val="25B0480A"/>
    <w:rsid w:val="25E1598F"/>
    <w:rsid w:val="25E358D7"/>
    <w:rsid w:val="25F87333"/>
    <w:rsid w:val="262F5DAB"/>
    <w:rsid w:val="26331BFE"/>
    <w:rsid w:val="263C2FCA"/>
    <w:rsid w:val="263C7389"/>
    <w:rsid w:val="26436D96"/>
    <w:rsid w:val="26565096"/>
    <w:rsid w:val="26631FA4"/>
    <w:rsid w:val="267A155C"/>
    <w:rsid w:val="269E28A2"/>
    <w:rsid w:val="269F1F56"/>
    <w:rsid w:val="26A614BB"/>
    <w:rsid w:val="26AE512A"/>
    <w:rsid w:val="26AF121F"/>
    <w:rsid w:val="26B1777C"/>
    <w:rsid w:val="26C10960"/>
    <w:rsid w:val="26E942DD"/>
    <w:rsid w:val="27001E87"/>
    <w:rsid w:val="270C37A0"/>
    <w:rsid w:val="2724461D"/>
    <w:rsid w:val="272C5CF9"/>
    <w:rsid w:val="27464424"/>
    <w:rsid w:val="2747668A"/>
    <w:rsid w:val="274806C8"/>
    <w:rsid w:val="275F6100"/>
    <w:rsid w:val="2764174E"/>
    <w:rsid w:val="277D1D0C"/>
    <w:rsid w:val="277F7492"/>
    <w:rsid w:val="27803E93"/>
    <w:rsid w:val="2788134B"/>
    <w:rsid w:val="27882C72"/>
    <w:rsid w:val="27961ADC"/>
    <w:rsid w:val="27BD4CCC"/>
    <w:rsid w:val="27CA2611"/>
    <w:rsid w:val="27ED036D"/>
    <w:rsid w:val="27F641BF"/>
    <w:rsid w:val="28003F0B"/>
    <w:rsid w:val="28070001"/>
    <w:rsid w:val="28083688"/>
    <w:rsid w:val="28256A9E"/>
    <w:rsid w:val="28463FD9"/>
    <w:rsid w:val="28594E9F"/>
    <w:rsid w:val="28690E82"/>
    <w:rsid w:val="289D6FBC"/>
    <w:rsid w:val="28AB4703"/>
    <w:rsid w:val="28DE51B7"/>
    <w:rsid w:val="29083B3D"/>
    <w:rsid w:val="290E35DA"/>
    <w:rsid w:val="2913310C"/>
    <w:rsid w:val="29201D7A"/>
    <w:rsid w:val="292B1B70"/>
    <w:rsid w:val="298404B0"/>
    <w:rsid w:val="29936F43"/>
    <w:rsid w:val="299C39AF"/>
    <w:rsid w:val="299F017B"/>
    <w:rsid w:val="29A91F5E"/>
    <w:rsid w:val="29BB6D3C"/>
    <w:rsid w:val="29D32F20"/>
    <w:rsid w:val="29DB3C33"/>
    <w:rsid w:val="29FD46B6"/>
    <w:rsid w:val="2A24268B"/>
    <w:rsid w:val="2A335710"/>
    <w:rsid w:val="2A4855D7"/>
    <w:rsid w:val="2A592D0F"/>
    <w:rsid w:val="2A670DFB"/>
    <w:rsid w:val="2A7975BE"/>
    <w:rsid w:val="2A7B6947"/>
    <w:rsid w:val="2A7C6744"/>
    <w:rsid w:val="2A7E0511"/>
    <w:rsid w:val="2A871C11"/>
    <w:rsid w:val="2A8D0B0F"/>
    <w:rsid w:val="2AB5028A"/>
    <w:rsid w:val="2AC728D2"/>
    <w:rsid w:val="2AD57EC8"/>
    <w:rsid w:val="2AD8573B"/>
    <w:rsid w:val="2AFC1B6B"/>
    <w:rsid w:val="2B0244E2"/>
    <w:rsid w:val="2B37404A"/>
    <w:rsid w:val="2B3C5F48"/>
    <w:rsid w:val="2B5059C7"/>
    <w:rsid w:val="2B64193C"/>
    <w:rsid w:val="2B7007CF"/>
    <w:rsid w:val="2B722796"/>
    <w:rsid w:val="2B757DBF"/>
    <w:rsid w:val="2B8442FF"/>
    <w:rsid w:val="2B8B0C0F"/>
    <w:rsid w:val="2B8D6BD0"/>
    <w:rsid w:val="2BB34299"/>
    <w:rsid w:val="2BC2605F"/>
    <w:rsid w:val="2BCC3285"/>
    <w:rsid w:val="2BD036BC"/>
    <w:rsid w:val="2BD154E9"/>
    <w:rsid w:val="2BE01C6B"/>
    <w:rsid w:val="2BE83025"/>
    <w:rsid w:val="2BFA02AD"/>
    <w:rsid w:val="2C1340C8"/>
    <w:rsid w:val="2C1349B3"/>
    <w:rsid w:val="2C1F54A6"/>
    <w:rsid w:val="2C9C2D10"/>
    <w:rsid w:val="2C9C4200"/>
    <w:rsid w:val="2CA16209"/>
    <w:rsid w:val="2CB11B6B"/>
    <w:rsid w:val="2CB8113B"/>
    <w:rsid w:val="2CCB7A09"/>
    <w:rsid w:val="2CEF481A"/>
    <w:rsid w:val="2CFA74B7"/>
    <w:rsid w:val="2D034B8C"/>
    <w:rsid w:val="2D1922BF"/>
    <w:rsid w:val="2D262D25"/>
    <w:rsid w:val="2D265A20"/>
    <w:rsid w:val="2D331087"/>
    <w:rsid w:val="2D3B6728"/>
    <w:rsid w:val="2D405182"/>
    <w:rsid w:val="2D406663"/>
    <w:rsid w:val="2D420024"/>
    <w:rsid w:val="2D5C2E0D"/>
    <w:rsid w:val="2D87256F"/>
    <w:rsid w:val="2DA31C74"/>
    <w:rsid w:val="2DBD4788"/>
    <w:rsid w:val="2DDB46FB"/>
    <w:rsid w:val="2DEE6370"/>
    <w:rsid w:val="2E122A84"/>
    <w:rsid w:val="2E1C51B6"/>
    <w:rsid w:val="2E5159B7"/>
    <w:rsid w:val="2E590462"/>
    <w:rsid w:val="2E6A1366"/>
    <w:rsid w:val="2E99111E"/>
    <w:rsid w:val="2EA15D27"/>
    <w:rsid w:val="2ECB2949"/>
    <w:rsid w:val="2ECE63F8"/>
    <w:rsid w:val="2F37094A"/>
    <w:rsid w:val="2F3B64FF"/>
    <w:rsid w:val="2F477462"/>
    <w:rsid w:val="2F4C40A5"/>
    <w:rsid w:val="2F563EC0"/>
    <w:rsid w:val="2F5B42DA"/>
    <w:rsid w:val="2F764A55"/>
    <w:rsid w:val="2F9453AA"/>
    <w:rsid w:val="2F9960ED"/>
    <w:rsid w:val="2F9D74DB"/>
    <w:rsid w:val="2FA1782B"/>
    <w:rsid w:val="2FAE723E"/>
    <w:rsid w:val="2FB3377D"/>
    <w:rsid w:val="2FDF74CA"/>
    <w:rsid w:val="307E7076"/>
    <w:rsid w:val="307F5651"/>
    <w:rsid w:val="30871F9B"/>
    <w:rsid w:val="308A276F"/>
    <w:rsid w:val="309762F2"/>
    <w:rsid w:val="309C1C91"/>
    <w:rsid w:val="30A22C4B"/>
    <w:rsid w:val="30AE2B58"/>
    <w:rsid w:val="30C21A50"/>
    <w:rsid w:val="30C536F8"/>
    <w:rsid w:val="30D3442A"/>
    <w:rsid w:val="30E77847"/>
    <w:rsid w:val="30FD42E7"/>
    <w:rsid w:val="31111818"/>
    <w:rsid w:val="31231D3C"/>
    <w:rsid w:val="312A405D"/>
    <w:rsid w:val="313C3448"/>
    <w:rsid w:val="31542A30"/>
    <w:rsid w:val="3161328B"/>
    <w:rsid w:val="317B7969"/>
    <w:rsid w:val="318F7AB2"/>
    <w:rsid w:val="31AB5EC3"/>
    <w:rsid w:val="31B7469D"/>
    <w:rsid w:val="31C20B2E"/>
    <w:rsid w:val="31C22C6F"/>
    <w:rsid w:val="31C6519A"/>
    <w:rsid w:val="31D26D13"/>
    <w:rsid w:val="31DA083D"/>
    <w:rsid w:val="31F02C1F"/>
    <w:rsid w:val="31FA6967"/>
    <w:rsid w:val="320C2F59"/>
    <w:rsid w:val="320F6237"/>
    <w:rsid w:val="32103AB7"/>
    <w:rsid w:val="3229136A"/>
    <w:rsid w:val="32390A31"/>
    <w:rsid w:val="325C521B"/>
    <w:rsid w:val="32622260"/>
    <w:rsid w:val="326C5E75"/>
    <w:rsid w:val="32766ADC"/>
    <w:rsid w:val="32BA6E40"/>
    <w:rsid w:val="32EA52BF"/>
    <w:rsid w:val="32F32C04"/>
    <w:rsid w:val="32F744EE"/>
    <w:rsid w:val="33024DB1"/>
    <w:rsid w:val="33114DDB"/>
    <w:rsid w:val="33117375"/>
    <w:rsid w:val="331A0B19"/>
    <w:rsid w:val="331A3857"/>
    <w:rsid w:val="332E240F"/>
    <w:rsid w:val="332E3412"/>
    <w:rsid w:val="332F09CC"/>
    <w:rsid w:val="33346A83"/>
    <w:rsid w:val="334C5B8E"/>
    <w:rsid w:val="335845F2"/>
    <w:rsid w:val="335F6666"/>
    <w:rsid w:val="336E664F"/>
    <w:rsid w:val="337148D9"/>
    <w:rsid w:val="33752B01"/>
    <w:rsid w:val="337D3848"/>
    <w:rsid w:val="33A852D5"/>
    <w:rsid w:val="33C25D73"/>
    <w:rsid w:val="33C44CA1"/>
    <w:rsid w:val="33C51B6D"/>
    <w:rsid w:val="33D63411"/>
    <w:rsid w:val="33D864B6"/>
    <w:rsid w:val="33DF7B09"/>
    <w:rsid w:val="33E57E53"/>
    <w:rsid w:val="34037A3B"/>
    <w:rsid w:val="341C1D6F"/>
    <w:rsid w:val="342910C4"/>
    <w:rsid w:val="344A06F0"/>
    <w:rsid w:val="34776D68"/>
    <w:rsid w:val="34972C19"/>
    <w:rsid w:val="34AE2BE2"/>
    <w:rsid w:val="34B60F57"/>
    <w:rsid w:val="34DF36C3"/>
    <w:rsid w:val="351D229D"/>
    <w:rsid w:val="35233233"/>
    <w:rsid w:val="35236787"/>
    <w:rsid w:val="353402AB"/>
    <w:rsid w:val="35722631"/>
    <w:rsid w:val="35890A9E"/>
    <w:rsid w:val="35894B8F"/>
    <w:rsid w:val="359377CF"/>
    <w:rsid w:val="35AD09C3"/>
    <w:rsid w:val="35BF3F4C"/>
    <w:rsid w:val="35F67BCB"/>
    <w:rsid w:val="35FF7757"/>
    <w:rsid w:val="36126473"/>
    <w:rsid w:val="362013CC"/>
    <w:rsid w:val="36397704"/>
    <w:rsid w:val="36577678"/>
    <w:rsid w:val="36663241"/>
    <w:rsid w:val="36676BC9"/>
    <w:rsid w:val="36676F03"/>
    <w:rsid w:val="366F792B"/>
    <w:rsid w:val="367D7A13"/>
    <w:rsid w:val="368A5895"/>
    <w:rsid w:val="368D1CFF"/>
    <w:rsid w:val="369826E4"/>
    <w:rsid w:val="36BB69D9"/>
    <w:rsid w:val="36C65164"/>
    <w:rsid w:val="36CA0AA6"/>
    <w:rsid w:val="36CA535B"/>
    <w:rsid w:val="36FC579D"/>
    <w:rsid w:val="37385903"/>
    <w:rsid w:val="374817AC"/>
    <w:rsid w:val="37BE78F7"/>
    <w:rsid w:val="37BF798B"/>
    <w:rsid w:val="37C23F8F"/>
    <w:rsid w:val="37C80B6E"/>
    <w:rsid w:val="37D9256B"/>
    <w:rsid w:val="37ED2FAB"/>
    <w:rsid w:val="380C2567"/>
    <w:rsid w:val="38111B40"/>
    <w:rsid w:val="38161547"/>
    <w:rsid w:val="38201FEF"/>
    <w:rsid w:val="38356875"/>
    <w:rsid w:val="383655F2"/>
    <w:rsid w:val="3843776D"/>
    <w:rsid w:val="38443B46"/>
    <w:rsid w:val="384A0106"/>
    <w:rsid w:val="384A3492"/>
    <w:rsid w:val="384C6518"/>
    <w:rsid w:val="389D6C69"/>
    <w:rsid w:val="389E2802"/>
    <w:rsid w:val="38AE4D5A"/>
    <w:rsid w:val="38D35429"/>
    <w:rsid w:val="38DF7FF9"/>
    <w:rsid w:val="38EC5D63"/>
    <w:rsid w:val="38EC7B5D"/>
    <w:rsid w:val="38F55D42"/>
    <w:rsid w:val="39216C0F"/>
    <w:rsid w:val="393F4A55"/>
    <w:rsid w:val="39575392"/>
    <w:rsid w:val="395B53C1"/>
    <w:rsid w:val="3965228B"/>
    <w:rsid w:val="39670ED0"/>
    <w:rsid w:val="397500E2"/>
    <w:rsid w:val="397833EE"/>
    <w:rsid w:val="399552F9"/>
    <w:rsid w:val="39B925E1"/>
    <w:rsid w:val="39FF6A0D"/>
    <w:rsid w:val="3A080C7E"/>
    <w:rsid w:val="3A305785"/>
    <w:rsid w:val="3A32158C"/>
    <w:rsid w:val="3A444107"/>
    <w:rsid w:val="3A484B88"/>
    <w:rsid w:val="3A5E7969"/>
    <w:rsid w:val="3A752CCA"/>
    <w:rsid w:val="3A765C48"/>
    <w:rsid w:val="3A7B345F"/>
    <w:rsid w:val="3A866BC6"/>
    <w:rsid w:val="3A911FB9"/>
    <w:rsid w:val="3A9B7985"/>
    <w:rsid w:val="3AAD5DFF"/>
    <w:rsid w:val="3ACA2D53"/>
    <w:rsid w:val="3AEA6F2D"/>
    <w:rsid w:val="3B0309CB"/>
    <w:rsid w:val="3B0C7433"/>
    <w:rsid w:val="3B312F5D"/>
    <w:rsid w:val="3B592662"/>
    <w:rsid w:val="3B5D6AB6"/>
    <w:rsid w:val="3B713C84"/>
    <w:rsid w:val="3BAD4688"/>
    <w:rsid w:val="3BB405C4"/>
    <w:rsid w:val="3BC8416D"/>
    <w:rsid w:val="3BD615F4"/>
    <w:rsid w:val="3C024E41"/>
    <w:rsid w:val="3C244BC9"/>
    <w:rsid w:val="3C4B3834"/>
    <w:rsid w:val="3C9A390C"/>
    <w:rsid w:val="3C9F3ED4"/>
    <w:rsid w:val="3CA903D3"/>
    <w:rsid w:val="3CAB1870"/>
    <w:rsid w:val="3CB90F2D"/>
    <w:rsid w:val="3CC84876"/>
    <w:rsid w:val="3CE578FF"/>
    <w:rsid w:val="3CEC0192"/>
    <w:rsid w:val="3CFA6C45"/>
    <w:rsid w:val="3D2E3AFF"/>
    <w:rsid w:val="3D65299D"/>
    <w:rsid w:val="3D7002C2"/>
    <w:rsid w:val="3D91524E"/>
    <w:rsid w:val="3DAC2E59"/>
    <w:rsid w:val="3DB06A15"/>
    <w:rsid w:val="3DB644A1"/>
    <w:rsid w:val="3DD249E0"/>
    <w:rsid w:val="3DD436DE"/>
    <w:rsid w:val="3DE57922"/>
    <w:rsid w:val="3DEA5222"/>
    <w:rsid w:val="3E1E3713"/>
    <w:rsid w:val="3E2454EA"/>
    <w:rsid w:val="3E57271F"/>
    <w:rsid w:val="3ED46D63"/>
    <w:rsid w:val="3EE823FD"/>
    <w:rsid w:val="3EEE4C2B"/>
    <w:rsid w:val="3F2B16DE"/>
    <w:rsid w:val="3F31483F"/>
    <w:rsid w:val="3F336778"/>
    <w:rsid w:val="3F365051"/>
    <w:rsid w:val="3F395583"/>
    <w:rsid w:val="3F40798A"/>
    <w:rsid w:val="3F470D43"/>
    <w:rsid w:val="3F5377BC"/>
    <w:rsid w:val="3F553D74"/>
    <w:rsid w:val="3F8064D7"/>
    <w:rsid w:val="3FAA799C"/>
    <w:rsid w:val="3FAB221E"/>
    <w:rsid w:val="3FBF0AD3"/>
    <w:rsid w:val="3FCE76B0"/>
    <w:rsid w:val="3FDF5186"/>
    <w:rsid w:val="3FE63642"/>
    <w:rsid w:val="400966B5"/>
    <w:rsid w:val="401E3DB1"/>
    <w:rsid w:val="4034337D"/>
    <w:rsid w:val="405B41A1"/>
    <w:rsid w:val="407420FB"/>
    <w:rsid w:val="407C24CF"/>
    <w:rsid w:val="40806D30"/>
    <w:rsid w:val="4085076A"/>
    <w:rsid w:val="40AF30BC"/>
    <w:rsid w:val="41130281"/>
    <w:rsid w:val="41334B86"/>
    <w:rsid w:val="41351C68"/>
    <w:rsid w:val="413D3EC4"/>
    <w:rsid w:val="41414E62"/>
    <w:rsid w:val="416F754E"/>
    <w:rsid w:val="41780330"/>
    <w:rsid w:val="41904E91"/>
    <w:rsid w:val="41956A0C"/>
    <w:rsid w:val="41AE7837"/>
    <w:rsid w:val="41B519BD"/>
    <w:rsid w:val="41BA67B5"/>
    <w:rsid w:val="41BA7E70"/>
    <w:rsid w:val="41BB23FB"/>
    <w:rsid w:val="41D20325"/>
    <w:rsid w:val="41DB2819"/>
    <w:rsid w:val="41EE0D4F"/>
    <w:rsid w:val="41FC4161"/>
    <w:rsid w:val="42052D95"/>
    <w:rsid w:val="420B1123"/>
    <w:rsid w:val="420B4F14"/>
    <w:rsid w:val="4237088B"/>
    <w:rsid w:val="428A429C"/>
    <w:rsid w:val="428B6885"/>
    <w:rsid w:val="42906A44"/>
    <w:rsid w:val="42A415DE"/>
    <w:rsid w:val="42D305CE"/>
    <w:rsid w:val="42E52701"/>
    <w:rsid w:val="42ED03DB"/>
    <w:rsid w:val="43053AE6"/>
    <w:rsid w:val="43085A3B"/>
    <w:rsid w:val="433E3343"/>
    <w:rsid w:val="438D7468"/>
    <w:rsid w:val="438F1D9B"/>
    <w:rsid w:val="438F44B4"/>
    <w:rsid w:val="439067D5"/>
    <w:rsid w:val="43977D17"/>
    <w:rsid w:val="43AF5841"/>
    <w:rsid w:val="43B038A3"/>
    <w:rsid w:val="43BF2D22"/>
    <w:rsid w:val="43DD6205"/>
    <w:rsid w:val="43F07D1E"/>
    <w:rsid w:val="440F49DD"/>
    <w:rsid w:val="44106909"/>
    <w:rsid w:val="442E7966"/>
    <w:rsid w:val="4434221F"/>
    <w:rsid w:val="444177EC"/>
    <w:rsid w:val="44417F14"/>
    <w:rsid w:val="444F28C7"/>
    <w:rsid w:val="4456483A"/>
    <w:rsid w:val="44611A8F"/>
    <w:rsid w:val="447C75A6"/>
    <w:rsid w:val="44A0270A"/>
    <w:rsid w:val="44AB51EB"/>
    <w:rsid w:val="44F25967"/>
    <w:rsid w:val="44F40442"/>
    <w:rsid w:val="451C0059"/>
    <w:rsid w:val="45311463"/>
    <w:rsid w:val="45501DAF"/>
    <w:rsid w:val="456448D4"/>
    <w:rsid w:val="458C7895"/>
    <w:rsid w:val="459557C4"/>
    <w:rsid w:val="45AE4BB8"/>
    <w:rsid w:val="45B80E28"/>
    <w:rsid w:val="45BC0EBC"/>
    <w:rsid w:val="45D1456B"/>
    <w:rsid w:val="45D53ED0"/>
    <w:rsid w:val="45FF1C64"/>
    <w:rsid w:val="46164CEE"/>
    <w:rsid w:val="464F3C74"/>
    <w:rsid w:val="46601F98"/>
    <w:rsid w:val="466744A5"/>
    <w:rsid w:val="466852D6"/>
    <w:rsid w:val="466D3342"/>
    <w:rsid w:val="467A3B2C"/>
    <w:rsid w:val="46867C5A"/>
    <w:rsid w:val="4691548C"/>
    <w:rsid w:val="46951F49"/>
    <w:rsid w:val="46AA7451"/>
    <w:rsid w:val="46C4380F"/>
    <w:rsid w:val="46C84C9D"/>
    <w:rsid w:val="46D35C01"/>
    <w:rsid w:val="46EA2657"/>
    <w:rsid w:val="46F741B4"/>
    <w:rsid w:val="46F8593B"/>
    <w:rsid w:val="47064012"/>
    <w:rsid w:val="472B7DBA"/>
    <w:rsid w:val="473460BA"/>
    <w:rsid w:val="47493D73"/>
    <w:rsid w:val="47647B18"/>
    <w:rsid w:val="4771744E"/>
    <w:rsid w:val="479009E9"/>
    <w:rsid w:val="47C65AE0"/>
    <w:rsid w:val="47DC518A"/>
    <w:rsid w:val="47DD6023"/>
    <w:rsid w:val="47F461D0"/>
    <w:rsid w:val="480B3AA1"/>
    <w:rsid w:val="482B10B3"/>
    <w:rsid w:val="482E665C"/>
    <w:rsid w:val="483A4A2F"/>
    <w:rsid w:val="48402A6B"/>
    <w:rsid w:val="486A6174"/>
    <w:rsid w:val="489E3DFA"/>
    <w:rsid w:val="489F1A32"/>
    <w:rsid w:val="48B55EF2"/>
    <w:rsid w:val="48BC5246"/>
    <w:rsid w:val="49063272"/>
    <w:rsid w:val="491F69AB"/>
    <w:rsid w:val="493B495E"/>
    <w:rsid w:val="49567AA8"/>
    <w:rsid w:val="496E375F"/>
    <w:rsid w:val="49857FAC"/>
    <w:rsid w:val="49A64729"/>
    <w:rsid w:val="49AA1350"/>
    <w:rsid w:val="49CB6D8C"/>
    <w:rsid w:val="49CE72FB"/>
    <w:rsid w:val="49D527C7"/>
    <w:rsid w:val="4A0F6384"/>
    <w:rsid w:val="4A132E77"/>
    <w:rsid w:val="4A1A43D6"/>
    <w:rsid w:val="4A2B52DC"/>
    <w:rsid w:val="4A340A7F"/>
    <w:rsid w:val="4A41015F"/>
    <w:rsid w:val="4A420254"/>
    <w:rsid w:val="4A4B19C0"/>
    <w:rsid w:val="4A5A0BC1"/>
    <w:rsid w:val="4A67536A"/>
    <w:rsid w:val="4A824ECC"/>
    <w:rsid w:val="4AAA5D79"/>
    <w:rsid w:val="4AB31F70"/>
    <w:rsid w:val="4AB479AD"/>
    <w:rsid w:val="4ABA1183"/>
    <w:rsid w:val="4AE84C04"/>
    <w:rsid w:val="4B06675B"/>
    <w:rsid w:val="4B071EA7"/>
    <w:rsid w:val="4B102858"/>
    <w:rsid w:val="4B405EF3"/>
    <w:rsid w:val="4B691FB4"/>
    <w:rsid w:val="4BB74E73"/>
    <w:rsid w:val="4BD019F4"/>
    <w:rsid w:val="4BDC4123"/>
    <w:rsid w:val="4BDE3B04"/>
    <w:rsid w:val="4BEC0201"/>
    <w:rsid w:val="4C0B5075"/>
    <w:rsid w:val="4C253897"/>
    <w:rsid w:val="4C582A94"/>
    <w:rsid w:val="4C8513D2"/>
    <w:rsid w:val="4C9038A8"/>
    <w:rsid w:val="4CD914BA"/>
    <w:rsid w:val="4CE341F4"/>
    <w:rsid w:val="4CE4342E"/>
    <w:rsid w:val="4CE46BC2"/>
    <w:rsid w:val="4D24678E"/>
    <w:rsid w:val="4D4312A1"/>
    <w:rsid w:val="4D511A34"/>
    <w:rsid w:val="4D76024F"/>
    <w:rsid w:val="4D841AA7"/>
    <w:rsid w:val="4D865ACB"/>
    <w:rsid w:val="4D9971E4"/>
    <w:rsid w:val="4DA74020"/>
    <w:rsid w:val="4DA9231B"/>
    <w:rsid w:val="4DC64010"/>
    <w:rsid w:val="4DCD20DB"/>
    <w:rsid w:val="4DF92CEE"/>
    <w:rsid w:val="4DFC251F"/>
    <w:rsid w:val="4E311692"/>
    <w:rsid w:val="4E3343DD"/>
    <w:rsid w:val="4E5A1AAC"/>
    <w:rsid w:val="4E796826"/>
    <w:rsid w:val="4EA23511"/>
    <w:rsid w:val="4EA60DCF"/>
    <w:rsid w:val="4EB536C3"/>
    <w:rsid w:val="4ED14E80"/>
    <w:rsid w:val="4EDB24EC"/>
    <w:rsid w:val="4EE475CD"/>
    <w:rsid w:val="4EF6134A"/>
    <w:rsid w:val="4F396529"/>
    <w:rsid w:val="4F3F58B4"/>
    <w:rsid w:val="4F553197"/>
    <w:rsid w:val="4F577DFB"/>
    <w:rsid w:val="4F9B1494"/>
    <w:rsid w:val="4F9C5BE3"/>
    <w:rsid w:val="4FA77A5C"/>
    <w:rsid w:val="4FA97ADE"/>
    <w:rsid w:val="4FB64A96"/>
    <w:rsid w:val="4FC02E4C"/>
    <w:rsid w:val="4FEA45AF"/>
    <w:rsid w:val="4FEA6AF9"/>
    <w:rsid w:val="4FEE0C77"/>
    <w:rsid w:val="4FFA5761"/>
    <w:rsid w:val="4FFE5B72"/>
    <w:rsid w:val="500E7233"/>
    <w:rsid w:val="50123BC0"/>
    <w:rsid w:val="50125B57"/>
    <w:rsid w:val="506B057F"/>
    <w:rsid w:val="50AB00D6"/>
    <w:rsid w:val="50AE4856"/>
    <w:rsid w:val="50B421C0"/>
    <w:rsid w:val="50B70EA8"/>
    <w:rsid w:val="50BA6772"/>
    <w:rsid w:val="50BA6A29"/>
    <w:rsid w:val="50CB601A"/>
    <w:rsid w:val="50D2253B"/>
    <w:rsid w:val="50E9548C"/>
    <w:rsid w:val="51147954"/>
    <w:rsid w:val="511928E6"/>
    <w:rsid w:val="51203A4C"/>
    <w:rsid w:val="5144288F"/>
    <w:rsid w:val="51551C56"/>
    <w:rsid w:val="5156562C"/>
    <w:rsid w:val="51580054"/>
    <w:rsid w:val="51607F5A"/>
    <w:rsid w:val="518202BE"/>
    <w:rsid w:val="519C68A1"/>
    <w:rsid w:val="51A412E2"/>
    <w:rsid w:val="51E14AA7"/>
    <w:rsid w:val="51E42B83"/>
    <w:rsid w:val="520424E3"/>
    <w:rsid w:val="52313A50"/>
    <w:rsid w:val="523D58A7"/>
    <w:rsid w:val="524D6857"/>
    <w:rsid w:val="52894A70"/>
    <w:rsid w:val="5298788F"/>
    <w:rsid w:val="529E0B16"/>
    <w:rsid w:val="52C50716"/>
    <w:rsid w:val="52CF41E8"/>
    <w:rsid w:val="52EC4975"/>
    <w:rsid w:val="530804F5"/>
    <w:rsid w:val="53250E5A"/>
    <w:rsid w:val="534E0588"/>
    <w:rsid w:val="53533D68"/>
    <w:rsid w:val="53640E00"/>
    <w:rsid w:val="536F7331"/>
    <w:rsid w:val="537417A0"/>
    <w:rsid w:val="53943EC5"/>
    <w:rsid w:val="53A25708"/>
    <w:rsid w:val="53B20987"/>
    <w:rsid w:val="53B61EB6"/>
    <w:rsid w:val="53D577D4"/>
    <w:rsid w:val="53DA605F"/>
    <w:rsid w:val="53E4121C"/>
    <w:rsid w:val="53EC2B31"/>
    <w:rsid w:val="541B4773"/>
    <w:rsid w:val="541F4BD2"/>
    <w:rsid w:val="542127E0"/>
    <w:rsid w:val="54275947"/>
    <w:rsid w:val="54297599"/>
    <w:rsid w:val="54303C0B"/>
    <w:rsid w:val="544D6BBE"/>
    <w:rsid w:val="545F56B9"/>
    <w:rsid w:val="549B7E6E"/>
    <w:rsid w:val="54A52DAC"/>
    <w:rsid w:val="54AB3880"/>
    <w:rsid w:val="54B0008E"/>
    <w:rsid w:val="54C9247D"/>
    <w:rsid w:val="54E4148C"/>
    <w:rsid w:val="54F175CD"/>
    <w:rsid w:val="54F86EE6"/>
    <w:rsid w:val="550E4252"/>
    <w:rsid w:val="552F1C26"/>
    <w:rsid w:val="553E5310"/>
    <w:rsid w:val="5544709D"/>
    <w:rsid w:val="55470886"/>
    <w:rsid w:val="555D65E0"/>
    <w:rsid w:val="556906FB"/>
    <w:rsid w:val="557E1851"/>
    <w:rsid w:val="55A133CC"/>
    <w:rsid w:val="55A723CA"/>
    <w:rsid w:val="55B13F9B"/>
    <w:rsid w:val="55DE3541"/>
    <w:rsid w:val="55F9253B"/>
    <w:rsid w:val="56034097"/>
    <w:rsid w:val="56056413"/>
    <w:rsid w:val="56066F9E"/>
    <w:rsid w:val="56702CA3"/>
    <w:rsid w:val="56A42D7A"/>
    <w:rsid w:val="56AC5ED0"/>
    <w:rsid w:val="56C36F78"/>
    <w:rsid w:val="56DA1D2E"/>
    <w:rsid w:val="56F35790"/>
    <w:rsid w:val="56FD08DB"/>
    <w:rsid w:val="5706013F"/>
    <w:rsid w:val="5706053F"/>
    <w:rsid w:val="57080D76"/>
    <w:rsid w:val="570D1CEC"/>
    <w:rsid w:val="57122A24"/>
    <w:rsid w:val="571342F9"/>
    <w:rsid w:val="572312DA"/>
    <w:rsid w:val="572467F4"/>
    <w:rsid w:val="572B5180"/>
    <w:rsid w:val="5754101B"/>
    <w:rsid w:val="5768048A"/>
    <w:rsid w:val="57726BDE"/>
    <w:rsid w:val="578215E2"/>
    <w:rsid w:val="57996DF4"/>
    <w:rsid w:val="57AD3521"/>
    <w:rsid w:val="57D26822"/>
    <w:rsid w:val="57D91D4A"/>
    <w:rsid w:val="57E056CD"/>
    <w:rsid w:val="57FC314B"/>
    <w:rsid w:val="581F6999"/>
    <w:rsid w:val="585551F6"/>
    <w:rsid w:val="585C7971"/>
    <w:rsid w:val="58853FDA"/>
    <w:rsid w:val="58A0799B"/>
    <w:rsid w:val="58B86A7D"/>
    <w:rsid w:val="58E96D46"/>
    <w:rsid w:val="5912120B"/>
    <w:rsid w:val="592177FC"/>
    <w:rsid w:val="59510834"/>
    <w:rsid w:val="59607284"/>
    <w:rsid w:val="59765EA8"/>
    <w:rsid w:val="59826597"/>
    <w:rsid w:val="598C5A0F"/>
    <w:rsid w:val="598F30CA"/>
    <w:rsid w:val="59996DA9"/>
    <w:rsid w:val="59A10533"/>
    <w:rsid w:val="59AC79C1"/>
    <w:rsid w:val="59B55F44"/>
    <w:rsid w:val="59BC6BA7"/>
    <w:rsid w:val="59C169F9"/>
    <w:rsid w:val="59C5056A"/>
    <w:rsid w:val="59D87FB1"/>
    <w:rsid w:val="59E809F6"/>
    <w:rsid w:val="5A0F7D22"/>
    <w:rsid w:val="5A142930"/>
    <w:rsid w:val="5A413C03"/>
    <w:rsid w:val="5A445162"/>
    <w:rsid w:val="5A4C4B68"/>
    <w:rsid w:val="5A5C7E2E"/>
    <w:rsid w:val="5A705B3D"/>
    <w:rsid w:val="5A7D61B6"/>
    <w:rsid w:val="5A855760"/>
    <w:rsid w:val="5A892F0E"/>
    <w:rsid w:val="5A927B87"/>
    <w:rsid w:val="5A9B4B77"/>
    <w:rsid w:val="5AAE0A6F"/>
    <w:rsid w:val="5ACF0318"/>
    <w:rsid w:val="5ADA6A1A"/>
    <w:rsid w:val="5ADF2C22"/>
    <w:rsid w:val="5B030BF9"/>
    <w:rsid w:val="5B0C0A05"/>
    <w:rsid w:val="5B1134F5"/>
    <w:rsid w:val="5B1C1330"/>
    <w:rsid w:val="5B3175F5"/>
    <w:rsid w:val="5B604CDF"/>
    <w:rsid w:val="5B735FF0"/>
    <w:rsid w:val="5B836749"/>
    <w:rsid w:val="5B86544E"/>
    <w:rsid w:val="5B87196B"/>
    <w:rsid w:val="5B9C0AB8"/>
    <w:rsid w:val="5BB5241F"/>
    <w:rsid w:val="5BB65ECE"/>
    <w:rsid w:val="5BD30DD9"/>
    <w:rsid w:val="5BD7150F"/>
    <w:rsid w:val="5BDF7534"/>
    <w:rsid w:val="5BEC2ABA"/>
    <w:rsid w:val="5BEE3A39"/>
    <w:rsid w:val="5BF97E0E"/>
    <w:rsid w:val="5BFD3B7C"/>
    <w:rsid w:val="5C0346F9"/>
    <w:rsid w:val="5C3C2A13"/>
    <w:rsid w:val="5C43267B"/>
    <w:rsid w:val="5C5B5829"/>
    <w:rsid w:val="5C6C6BEE"/>
    <w:rsid w:val="5C721A44"/>
    <w:rsid w:val="5C793DB9"/>
    <w:rsid w:val="5C9F2E73"/>
    <w:rsid w:val="5CA8185D"/>
    <w:rsid w:val="5CD00AAC"/>
    <w:rsid w:val="5CD06D65"/>
    <w:rsid w:val="5CDE4D32"/>
    <w:rsid w:val="5D0576FB"/>
    <w:rsid w:val="5D1A5E38"/>
    <w:rsid w:val="5D1E23A3"/>
    <w:rsid w:val="5D1E2984"/>
    <w:rsid w:val="5D2075CD"/>
    <w:rsid w:val="5D230391"/>
    <w:rsid w:val="5D2D0D77"/>
    <w:rsid w:val="5D314E09"/>
    <w:rsid w:val="5D42534E"/>
    <w:rsid w:val="5D4A7AC5"/>
    <w:rsid w:val="5D5572D2"/>
    <w:rsid w:val="5D5B1D99"/>
    <w:rsid w:val="5D8727E5"/>
    <w:rsid w:val="5DA51F18"/>
    <w:rsid w:val="5DF617F0"/>
    <w:rsid w:val="5E236C8D"/>
    <w:rsid w:val="5E3F47F3"/>
    <w:rsid w:val="5E595F4C"/>
    <w:rsid w:val="5E5C50BF"/>
    <w:rsid w:val="5E6425BF"/>
    <w:rsid w:val="5E65717E"/>
    <w:rsid w:val="5E7B58EC"/>
    <w:rsid w:val="5E7E23E2"/>
    <w:rsid w:val="5E7F0949"/>
    <w:rsid w:val="5E8A4453"/>
    <w:rsid w:val="5EC32768"/>
    <w:rsid w:val="5ED17E65"/>
    <w:rsid w:val="5EE926E9"/>
    <w:rsid w:val="5EF20148"/>
    <w:rsid w:val="5F1C7A1F"/>
    <w:rsid w:val="5F341FF4"/>
    <w:rsid w:val="5F397D45"/>
    <w:rsid w:val="5F4B313B"/>
    <w:rsid w:val="5F4F5621"/>
    <w:rsid w:val="5F511BB1"/>
    <w:rsid w:val="5F6D47BA"/>
    <w:rsid w:val="5F6E2DCA"/>
    <w:rsid w:val="5F8A282E"/>
    <w:rsid w:val="5FD81B05"/>
    <w:rsid w:val="5FD90E7D"/>
    <w:rsid w:val="5FF6336B"/>
    <w:rsid w:val="5FFB5E04"/>
    <w:rsid w:val="601D2F02"/>
    <w:rsid w:val="603A3035"/>
    <w:rsid w:val="603B60D9"/>
    <w:rsid w:val="6063674F"/>
    <w:rsid w:val="60AC1F87"/>
    <w:rsid w:val="60BE5EA9"/>
    <w:rsid w:val="60D00471"/>
    <w:rsid w:val="60DC14CC"/>
    <w:rsid w:val="612400B1"/>
    <w:rsid w:val="612537AE"/>
    <w:rsid w:val="61297814"/>
    <w:rsid w:val="61314A3A"/>
    <w:rsid w:val="6141098D"/>
    <w:rsid w:val="61531DB2"/>
    <w:rsid w:val="61727C85"/>
    <w:rsid w:val="619448FF"/>
    <w:rsid w:val="61A575A0"/>
    <w:rsid w:val="61C806A8"/>
    <w:rsid w:val="61DF2556"/>
    <w:rsid w:val="622E58C5"/>
    <w:rsid w:val="626A0E6E"/>
    <w:rsid w:val="627403C2"/>
    <w:rsid w:val="628140A6"/>
    <w:rsid w:val="628E328B"/>
    <w:rsid w:val="62A56970"/>
    <w:rsid w:val="62B32CEF"/>
    <w:rsid w:val="62BE511E"/>
    <w:rsid w:val="62F3165E"/>
    <w:rsid w:val="631E222D"/>
    <w:rsid w:val="63313EBB"/>
    <w:rsid w:val="636E5C34"/>
    <w:rsid w:val="637E0327"/>
    <w:rsid w:val="639B0953"/>
    <w:rsid w:val="639B3553"/>
    <w:rsid w:val="63AD1985"/>
    <w:rsid w:val="63BD1CE7"/>
    <w:rsid w:val="63D74E9F"/>
    <w:rsid w:val="63DE4354"/>
    <w:rsid w:val="63E741D8"/>
    <w:rsid w:val="63F459FC"/>
    <w:rsid w:val="63F501CD"/>
    <w:rsid w:val="64071787"/>
    <w:rsid w:val="640A4139"/>
    <w:rsid w:val="640A5372"/>
    <w:rsid w:val="640D382E"/>
    <w:rsid w:val="640D4527"/>
    <w:rsid w:val="641C50A9"/>
    <w:rsid w:val="642A67B5"/>
    <w:rsid w:val="642E7CA6"/>
    <w:rsid w:val="643914E5"/>
    <w:rsid w:val="64526164"/>
    <w:rsid w:val="645A28E2"/>
    <w:rsid w:val="645E59AD"/>
    <w:rsid w:val="64671409"/>
    <w:rsid w:val="646D53B5"/>
    <w:rsid w:val="64956C03"/>
    <w:rsid w:val="64E2162B"/>
    <w:rsid w:val="64E30C60"/>
    <w:rsid w:val="64E81568"/>
    <w:rsid w:val="64FD5601"/>
    <w:rsid w:val="650440FD"/>
    <w:rsid w:val="650613CD"/>
    <w:rsid w:val="650E6BF3"/>
    <w:rsid w:val="6514292A"/>
    <w:rsid w:val="6518208F"/>
    <w:rsid w:val="65196556"/>
    <w:rsid w:val="65454B28"/>
    <w:rsid w:val="656A4C15"/>
    <w:rsid w:val="657F727A"/>
    <w:rsid w:val="659324AD"/>
    <w:rsid w:val="65933814"/>
    <w:rsid w:val="65A92399"/>
    <w:rsid w:val="65AC519A"/>
    <w:rsid w:val="65E62049"/>
    <w:rsid w:val="65E66712"/>
    <w:rsid w:val="65F51B70"/>
    <w:rsid w:val="660C6FF1"/>
    <w:rsid w:val="66371620"/>
    <w:rsid w:val="663D08BC"/>
    <w:rsid w:val="66440A25"/>
    <w:rsid w:val="665937E3"/>
    <w:rsid w:val="66A80DB6"/>
    <w:rsid w:val="66AC74F5"/>
    <w:rsid w:val="66B036AA"/>
    <w:rsid w:val="66F824FD"/>
    <w:rsid w:val="66F84618"/>
    <w:rsid w:val="672002B4"/>
    <w:rsid w:val="672E2721"/>
    <w:rsid w:val="67576C8D"/>
    <w:rsid w:val="67767C08"/>
    <w:rsid w:val="67882F0A"/>
    <w:rsid w:val="67890635"/>
    <w:rsid w:val="67913AF7"/>
    <w:rsid w:val="679C7620"/>
    <w:rsid w:val="679E76E8"/>
    <w:rsid w:val="67EB4052"/>
    <w:rsid w:val="67FA0C15"/>
    <w:rsid w:val="6821479D"/>
    <w:rsid w:val="682A5E67"/>
    <w:rsid w:val="682C5482"/>
    <w:rsid w:val="68367249"/>
    <w:rsid w:val="68374713"/>
    <w:rsid w:val="684F7671"/>
    <w:rsid w:val="685B3DBC"/>
    <w:rsid w:val="688E6B42"/>
    <w:rsid w:val="689046D8"/>
    <w:rsid w:val="689C19A7"/>
    <w:rsid w:val="68A04824"/>
    <w:rsid w:val="68A27318"/>
    <w:rsid w:val="68B83FCD"/>
    <w:rsid w:val="68BC5D09"/>
    <w:rsid w:val="68C40153"/>
    <w:rsid w:val="68C512EC"/>
    <w:rsid w:val="68C61FAA"/>
    <w:rsid w:val="68CD3FED"/>
    <w:rsid w:val="68D47271"/>
    <w:rsid w:val="68DB58B3"/>
    <w:rsid w:val="68FA7858"/>
    <w:rsid w:val="69017ACE"/>
    <w:rsid w:val="69637FF4"/>
    <w:rsid w:val="69650C1F"/>
    <w:rsid w:val="69683388"/>
    <w:rsid w:val="69744451"/>
    <w:rsid w:val="69812368"/>
    <w:rsid w:val="699A3830"/>
    <w:rsid w:val="69C35137"/>
    <w:rsid w:val="69CF6FFA"/>
    <w:rsid w:val="69D129B7"/>
    <w:rsid w:val="69D271BF"/>
    <w:rsid w:val="69E678C6"/>
    <w:rsid w:val="69E92D8D"/>
    <w:rsid w:val="6A1A7606"/>
    <w:rsid w:val="6A2229ED"/>
    <w:rsid w:val="6A3D2D19"/>
    <w:rsid w:val="6A763C2C"/>
    <w:rsid w:val="6A843A8E"/>
    <w:rsid w:val="6A912590"/>
    <w:rsid w:val="6A917224"/>
    <w:rsid w:val="6A9668E4"/>
    <w:rsid w:val="6A9C62FC"/>
    <w:rsid w:val="6AA866BA"/>
    <w:rsid w:val="6AB774CE"/>
    <w:rsid w:val="6ABD3EE1"/>
    <w:rsid w:val="6ACB471C"/>
    <w:rsid w:val="6ACC00F1"/>
    <w:rsid w:val="6AD301C7"/>
    <w:rsid w:val="6ADD40C5"/>
    <w:rsid w:val="6AFC0248"/>
    <w:rsid w:val="6B115076"/>
    <w:rsid w:val="6B15491F"/>
    <w:rsid w:val="6B1726BA"/>
    <w:rsid w:val="6B5F76FC"/>
    <w:rsid w:val="6B785B87"/>
    <w:rsid w:val="6B936FB3"/>
    <w:rsid w:val="6B9375DA"/>
    <w:rsid w:val="6BA32A9A"/>
    <w:rsid w:val="6BA76870"/>
    <w:rsid w:val="6BD53BA1"/>
    <w:rsid w:val="6BDE7973"/>
    <w:rsid w:val="6BE65745"/>
    <w:rsid w:val="6BE912C0"/>
    <w:rsid w:val="6BEF1695"/>
    <w:rsid w:val="6C3001FD"/>
    <w:rsid w:val="6C365A73"/>
    <w:rsid w:val="6C5C1842"/>
    <w:rsid w:val="6C6667F4"/>
    <w:rsid w:val="6C787E50"/>
    <w:rsid w:val="6C7B102A"/>
    <w:rsid w:val="6C7C6C3F"/>
    <w:rsid w:val="6C7C787B"/>
    <w:rsid w:val="6C7D2FC6"/>
    <w:rsid w:val="6C8D532E"/>
    <w:rsid w:val="6C91192B"/>
    <w:rsid w:val="6C9E700E"/>
    <w:rsid w:val="6CA155DB"/>
    <w:rsid w:val="6CC43B00"/>
    <w:rsid w:val="6CCE108A"/>
    <w:rsid w:val="6CD55849"/>
    <w:rsid w:val="6CEF7C48"/>
    <w:rsid w:val="6CFB34EE"/>
    <w:rsid w:val="6D000E28"/>
    <w:rsid w:val="6D0C719F"/>
    <w:rsid w:val="6D3E131B"/>
    <w:rsid w:val="6D5118E8"/>
    <w:rsid w:val="6D5E3CE3"/>
    <w:rsid w:val="6D671D25"/>
    <w:rsid w:val="6D6856E5"/>
    <w:rsid w:val="6D6B17E5"/>
    <w:rsid w:val="6D7F5EC2"/>
    <w:rsid w:val="6D8B4B30"/>
    <w:rsid w:val="6D904F42"/>
    <w:rsid w:val="6D9715BD"/>
    <w:rsid w:val="6DA4731F"/>
    <w:rsid w:val="6DB13D2D"/>
    <w:rsid w:val="6DF53564"/>
    <w:rsid w:val="6E0A7DDD"/>
    <w:rsid w:val="6E1C37FD"/>
    <w:rsid w:val="6E204D42"/>
    <w:rsid w:val="6E2B6E8E"/>
    <w:rsid w:val="6E326006"/>
    <w:rsid w:val="6E3E2AAF"/>
    <w:rsid w:val="6E3F1EC0"/>
    <w:rsid w:val="6E5543E8"/>
    <w:rsid w:val="6E5F7C58"/>
    <w:rsid w:val="6E6F53F4"/>
    <w:rsid w:val="6E7B7BAA"/>
    <w:rsid w:val="6E9A4712"/>
    <w:rsid w:val="6ECF657F"/>
    <w:rsid w:val="6EE34E5E"/>
    <w:rsid w:val="6F0C5AD3"/>
    <w:rsid w:val="6F255F77"/>
    <w:rsid w:val="6F26731D"/>
    <w:rsid w:val="6F4B5873"/>
    <w:rsid w:val="6F5F15A1"/>
    <w:rsid w:val="6F803C30"/>
    <w:rsid w:val="6FA2172F"/>
    <w:rsid w:val="6FAD7B1E"/>
    <w:rsid w:val="6FEA320D"/>
    <w:rsid w:val="6FFC3729"/>
    <w:rsid w:val="6FFE5087"/>
    <w:rsid w:val="7017077B"/>
    <w:rsid w:val="701A7105"/>
    <w:rsid w:val="701C6D15"/>
    <w:rsid w:val="701D3556"/>
    <w:rsid w:val="701F43FF"/>
    <w:rsid w:val="703D01FC"/>
    <w:rsid w:val="7041576B"/>
    <w:rsid w:val="704548A7"/>
    <w:rsid w:val="705A4DC4"/>
    <w:rsid w:val="70647078"/>
    <w:rsid w:val="7084764A"/>
    <w:rsid w:val="708723E6"/>
    <w:rsid w:val="708A2370"/>
    <w:rsid w:val="70CB50D0"/>
    <w:rsid w:val="7110058F"/>
    <w:rsid w:val="713C3EBC"/>
    <w:rsid w:val="716727F7"/>
    <w:rsid w:val="7170513A"/>
    <w:rsid w:val="718A1659"/>
    <w:rsid w:val="71B61B1C"/>
    <w:rsid w:val="71CD72E1"/>
    <w:rsid w:val="71D61FC3"/>
    <w:rsid w:val="71DA6848"/>
    <w:rsid w:val="71FD52C7"/>
    <w:rsid w:val="72004364"/>
    <w:rsid w:val="721106DE"/>
    <w:rsid w:val="722E114C"/>
    <w:rsid w:val="72526494"/>
    <w:rsid w:val="726F1B71"/>
    <w:rsid w:val="72BA21EC"/>
    <w:rsid w:val="72BE210D"/>
    <w:rsid w:val="72C12700"/>
    <w:rsid w:val="72C3290F"/>
    <w:rsid w:val="72D96C84"/>
    <w:rsid w:val="72E351D9"/>
    <w:rsid w:val="72FF6EFE"/>
    <w:rsid w:val="73027750"/>
    <w:rsid w:val="730E16F5"/>
    <w:rsid w:val="73136D7C"/>
    <w:rsid w:val="73142D7C"/>
    <w:rsid w:val="7322413B"/>
    <w:rsid w:val="73234271"/>
    <w:rsid w:val="7335128C"/>
    <w:rsid w:val="7344665E"/>
    <w:rsid w:val="73A27C94"/>
    <w:rsid w:val="73BC00A5"/>
    <w:rsid w:val="73C270AA"/>
    <w:rsid w:val="73C42DC8"/>
    <w:rsid w:val="73CC1F97"/>
    <w:rsid w:val="73D078A6"/>
    <w:rsid w:val="73DC3B42"/>
    <w:rsid w:val="73E70279"/>
    <w:rsid w:val="73F32AC4"/>
    <w:rsid w:val="741F4133"/>
    <w:rsid w:val="743C4319"/>
    <w:rsid w:val="744A5EA4"/>
    <w:rsid w:val="745D0C05"/>
    <w:rsid w:val="74991692"/>
    <w:rsid w:val="74CB2099"/>
    <w:rsid w:val="74DE35DB"/>
    <w:rsid w:val="74EB460F"/>
    <w:rsid w:val="75062CD8"/>
    <w:rsid w:val="75077D81"/>
    <w:rsid w:val="753379B0"/>
    <w:rsid w:val="75372CE8"/>
    <w:rsid w:val="756103A4"/>
    <w:rsid w:val="756D06E2"/>
    <w:rsid w:val="7587038F"/>
    <w:rsid w:val="75B52F82"/>
    <w:rsid w:val="75B82788"/>
    <w:rsid w:val="75BE79E3"/>
    <w:rsid w:val="75C12D2B"/>
    <w:rsid w:val="75D7160B"/>
    <w:rsid w:val="75DB19B2"/>
    <w:rsid w:val="75DD687C"/>
    <w:rsid w:val="75F426A1"/>
    <w:rsid w:val="761B7FB5"/>
    <w:rsid w:val="762B0082"/>
    <w:rsid w:val="763B67EB"/>
    <w:rsid w:val="763F46B4"/>
    <w:rsid w:val="76532D0C"/>
    <w:rsid w:val="765A64B9"/>
    <w:rsid w:val="7696022E"/>
    <w:rsid w:val="769F3400"/>
    <w:rsid w:val="76A97E80"/>
    <w:rsid w:val="76B6330F"/>
    <w:rsid w:val="76B84A6B"/>
    <w:rsid w:val="76C46139"/>
    <w:rsid w:val="76D171BB"/>
    <w:rsid w:val="76E039E1"/>
    <w:rsid w:val="76E26FB6"/>
    <w:rsid w:val="76F2395E"/>
    <w:rsid w:val="76F31266"/>
    <w:rsid w:val="77000FA8"/>
    <w:rsid w:val="77040D4E"/>
    <w:rsid w:val="77063A55"/>
    <w:rsid w:val="77201F5A"/>
    <w:rsid w:val="772D539D"/>
    <w:rsid w:val="7738552A"/>
    <w:rsid w:val="77416220"/>
    <w:rsid w:val="77485F97"/>
    <w:rsid w:val="777E7888"/>
    <w:rsid w:val="77827F3C"/>
    <w:rsid w:val="77B55F2E"/>
    <w:rsid w:val="77D8618B"/>
    <w:rsid w:val="77E91EF5"/>
    <w:rsid w:val="781047B3"/>
    <w:rsid w:val="7816305B"/>
    <w:rsid w:val="781F21E5"/>
    <w:rsid w:val="7825161E"/>
    <w:rsid w:val="784255A8"/>
    <w:rsid w:val="785829AF"/>
    <w:rsid w:val="789913C0"/>
    <w:rsid w:val="78CB2F33"/>
    <w:rsid w:val="78DE650C"/>
    <w:rsid w:val="78EE0E4F"/>
    <w:rsid w:val="78F46E96"/>
    <w:rsid w:val="78FC207D"/>
    <w:rsid w:val="78FE5FEE"/>
    <w:rsid w:val="791C38D3"/>
    <w:rsid w:val="79244401"/>
    <w:rsid w:val="792B2CAD"/>
    <w:rsid w:val="792E0DEE"/>
    <w:rsid w:val="79317A55"/>
    <w:rsid w:val="794562E9"/>
    <w:rsid w:val="794D313C"/>
    <w:rsid w:val="795667EE"/>
    <w:rsid w:val="795A1670"/>
    <w:rsid w:val="79641653"/>
    <w:rsid w:val="79664C14"/>
    <w:rsid w:val="79D93AFA"/>
    <w:rsid w:val="79EA0FFD"/>
    <w:rsid w:val="7A0365DC"/>
    <w:rsid w:val="7A331F08"/>
    <w:rsid w:val="7A3F6347"/>
    <w:rsid w:val="7A4C3830"/>
    <w:rsid w:val="7A671FF3"/>
    <w:rsid w:val="7A73178E"/>
    <w:rsid w:val="7A926788"/>
    <w:rsid w:val="7AA310F2"/>
    <w:rsid w:val="7ACF3C60"/>
    <w:rsid w:val="7ADC7DA0"/>
    <w:rsid w:val="7ADF7839"/>
    <w:rsid w:val="7AE57504"/>
    <w:rsid w:val="7AEC7EBF"/>
    <w:rsid w:val="7B0B7491"/>
    <w:rsid w:val="7B221D52"/>
    <w:rsid w:val="7B28618E"/>
    <w:rsid w:val="7B42499F"/>
    <w:rsid w:val="7B4310C8"/>
    <w:rsid w:val="7B6B4049"/>
    <w:rsid w:val="7B7761D9"/>
    <w:rsid w:val="7B877C54"/>
    <w:rsid w:val="7BC46081"/>
    <w:rsid w:val="7BCB22CD"/>
    <w:rsid w:val="7BE779B4"/>
    <w:rsid w:val="7BFD241F"/>
    <w:rsid w:val="7C0908E9"/>
    <w:rsid w:val="7C17381A"/>
    <w:rsid w:val="7C2D6C34"/>
    <w:rsid w:val="7C3779AA"/>
    <w:rsid w:val="7C5A4A36"/>
    <w:rsid w:val="7C5B25F7"/>
    <w:rsid w:val="7C650448"/>
    <w:rsid w:val="7C9317D9"/>
    <w:rsid w:val="7C9711B4"/>
    <w:rsid w:val="7CA36ACC"/>
    <w:rsid w:val="7CAE532D"/>
    <w:rsid w:val="7CAE73DF"/>
    <w:rsid w:val="7CDB126F"/>
    <w:rsid w:val="7CE36B2C"/>
    <w:rsid w:val="7CEC3BD7"/>
    <w:rsid w:val="7CF40623"/>
    <w:rsid w:val="7D2840E2"/>
    <w:rsid w:val="7D323383"/>
    <w:rsid w:val="7D473E80"/>
    <w:rsid w:val="7D484985"/>
    <w:rsid w:val="7D516F35"/>
    <w:rsid w:val="7D5356AC"/>
    <w:rsid w:val="7D590603"/>
    <w:rsid w:val="7D6A29C1"/>
    <w:rsid w:val="7D766F1F"/>
    <w:rsid w:val="7D7703E4"/>
    <w:rsid w:val="7D89693E"/>
    <w:rsid w:val="7D930D9E"/>
    <w:rsid w:val="7DB92F00"/>
    <w:rsid w:val="7DD110DE"/>
    <w:rsid w:val="7E210E16"/>
    <w:rsid w:val="7E480029"/>
    <w:rsid w:val="7E4E59A1"/>
    <w:rsid w:val="7E597CD7"/>
    <w:rsid w:val="7E623BDD"/>
    <w:rsid w:val="7E646C40"/>
    <w:rsid w:val="7E682AF4"/>
    <w:rsid w:val="7E9132FB"/>
    <w:rsid w:val="7EA52415"/>
    <w:rsid w:val="7EC06781"/>
    <w:rsid w:val="7ECF1F3E"/>
    <w:rsid w:val="7EDB452D"/>
    <w:rsid w:val="7EDF109A"/>
    <w:rsid w:val="7EE70BC1"/>
    <w:rsid w:val="7EF210A1"/>
    <w:rsid w:val="7EF35C84"/>
    <w:rsid w:val="7F0A4AEC"/>
    <w:rsid w:val="7F1F2CD5"/>
    <w:rsid w:val="7F202501"/>
    <w:rsid w:val="7F2E4DD6"/>
    <w:rsid w:val="7F397C9F"/>
    <w:rsid w:val="7F425028"/>
    <w:rsid w:val="7F511F5F"/>
    <w:rsid w:val="7F7F111A"/>
    <w:rsid w:val="7F9D7279"/>
    <w:rsid w:val="7FC44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nhideWhenUsed="0" w:uiPriority="99"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name="List Number"/>
    <w:lsdException w:qFormat="1" w:uiPriority="99" w:semiHidden="0" w:name="List 2"/>
    <w:lsdException w:qFormat="1" w:uiPriority="99"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2"/>
      <w:lang w:val="en-US" w:eastAsia="zh-CN" w:bidi="ar-SA"/>
    </w:rPr>
  </w:style>
  <w:style w:type="paragraph" w:styleId="2">
    <w:name w:val="heading 1"/>
    <w:basedOn w:val="1"/>
    <w:next w:val="1"/>
    <w:link w:val="91"/>
    <w:qFormat/>
    <w:uiPriority w:val="99"/>
    <w:pPr>
      <w:widowControl w:val="0"/>
      <w:numPr>
        <w:ilvl w:val="0"/>
        <w:numId w:val="1"/>
      </w:numPr>
      <w:autoSpaceDE w:val="0"/>
      <w:autoSpaceDN w:val="0"/>
      <w:adjustRightInd w:val="0"/>
      <w:spacing w:before="100" w:beforeAutospacing="1" w:after="100" w:afterAutospacing="1" w:line="360" w:lineRule="auto"/>
      <w:outlineLvl w:val="0"/>
    </w:pPr>
    <w:rPr>
      <w:rFonts w:eastAsia="黑体"/>
      <w:b/>
      <w:bCs/>
      <w:sz w:val="30"/>
      <w:szCs w:val="30"/>
      <w:lang w:val="zh-CN"/>
    </w:rPr>
  </w:style>
  <w:style w:type="paragraph" w:styleId="3">
    <w:name w:val="heading 2"/>
    <w:basedOn w:val="2"/>
    <w:next w:val="1"/>
    <w:link w:val="101"/>
    <w:qFormat/>
    <w:uiPriority w:val="0"/>
    <w:pPr>
      <w:keepNext/>
      <w:keepLines/>
      <w:numPr>
        <w:ilvl w:val="1"/>
      </w:numPr>
      <w:spacing w:line="240" w:lineRule="atLeast"/>
      <w:outlineLvl w:val="1"/>
    </w:pPr>
    <w:rPr>
      <w:rFonts w:eastAsia="宋体"/>
      <w:kern w:val="2"/>
      <w:sz w:val="24"/>
      <w:szCs w:val="24"/>
    </w:rPr>
  </w:style>
  <w:style w:type="paragraph" w:styleId="4">
    <w:name w:val="heading 3"/>
    <w:basedOn w:val="3"/>
    <w:next w:val="1"/>
    <w:link w:val="81"/>
    <w:qFormat/>
    <w:uiPriority w:val="9"/>
    <w:pPr>
      <w:numPr>
        <w:ilvl w:val="2"/>
        <w:numId w:val="2"/>
      </w:numPr>
      <w:tabs>
        <w:tab w:val="clear" w:pos="720"/>
      </w:tabs>
      <w:spacing w:before="260" w:after="76" w:line="416" w:lineRule="auto"/>
      <w:outlineLvl w:val="2"/>
    </w:pPr>
    <w:rPr>
      <w:szCs w:val="32"/>
    </w:rPr>
  </w:style>
  <w:style w:type="paragraph" w:styleId="5">
    <w:name w:val="heading 4"/>
    <w:basedOn w:val="4"/>
    <w:next w:val="1"/>
    <w:link w:val="93"/>
    <w:qFormat/>
    <w:uiPriority w:val="0"/>
    <w:pPr>
      <w:overflowPunct w:val="0"/>
      <w:textAlignment w:val="baseline"/>
      <w:outlineLvl w:val="3"/>
    </w:pPr>
    <w:rPr>
      <w:szCs w:val="28"/>
    </w:rPr>
  </w:style>
  <w:style w:type="paragraph" w:styleId="6">
    <w:name w:val="heading 5"/>
    <w:basedOn w:val="5"/>
    <w:next w:val="1"/>
    <w:link w:val="97"/>
    <w:qFormat/>
    <w:uiPriority w:val="0"/>
    <w:pPr>
      <w:spacing w:beforeLines="50"/>
      <w:outlineLvl w:val="4"/>
    </w:pPr>
    <w:rPr>
      <w:szCs w:val="24"/>
    </w:rPr>
  </w:style>
  <w:style w:type="paragraph" w:styleId="7">
    <w:name w:val="heading 6"/>
    <w:basedOn w:val="1"/>
    <w:next w:val="1"/>
    <w:link w:val="92"/>
    <w:qFormat/>
    <w:uiPriority w:val="9"/>
    <w:pPr>
      <w:keepNext/>
      <w:keepLines/>
      <w:numPr>
        <w:ilvl w:val="5"/>
        <w:numId w:val="1"/>
      </w:numPr>
      <w:tabs>
        <w:tab w:val="left" w:pos="432"/>
      </w:tabs>
      <w:spacing w:before="240" w:after="64" w:line="320" w:lineRule="auto"/>
      <w:outlineLvl w:val="5"/>
    </w:pPr>
    <w:rPr>
      <w:rFonts w:ascii="Cambria" w:hAnsi="Cambria" w:cs="黑体"/>
      <w:b/>
      <w:bCs/>
      <w:sz w:val="24"/>
      <w:szCs w:val="24"/>
    </w:rPr>
  </w:style>
  <w:style w:type="paragraph" w:styleId="8">
    <w:name w:val="heading 7"/>
    <w:basedOn w:val="1"/>
    <w:next w:val="1"/>
    <w:link w:val="82"/>
    <w:qFormat/>
    <w:uiPriority w:val="9"/>
    <w:pPr>
      <w:keepNext/>
      <w:keepLines/>
      <w:numPr>
        <w:ilvl w:val="6"/>
        <w:numId w:val="1"/>
      </w:numPr>
      <w:tabs>
        <w:tab w:val="left" w:pos="432"/>
      </w:tabs>
      <w:spacing w:before="240" w:after="64" w:line="320" w:lineRule="auto"/>
      <w:outlineLvl w:val="6"/>
    </w:pPr>
    <w:rPr>
      <w:b/>
      <w:bCs/>
      <w:sz w:val="24"/>
      <w:szCs w:val="24"/>
    </w:rPr>
  </w:style>
  <w:style w:type="paragraph" w:styleId="9">
    <w:name w:val="heading 8"/>
    <w:basedOn w:val="1"/>
    <w:next w:val="1"/>
    <w:link w:val="100"/>
    <w:qFormat/>
    <w:uiPriority w:val="9"/>
    <w:pPr>
      <w:keepNext/>
      <w:keepLines/>
      <w:numPr>
        <w:ilvl w:val="7"/>
        <w:numId w:val="1"/>
      </w:numPr>
      <w:tabs>
        <w:tab w:val="left" w:pos="432"/>
      </w:tabs>
      <w:spacing w:before="240" w:after="64" w:line="320" w:lineRule="auto"/>
      <w:outlineLvl w:val="7"/>
    </w:pPr>
    <w:rPr>
      <w:rFonts w:ascii="Cambria" w:hAnsi="Cambria" w:cs="黑体"/>
      <w:sz w:val="24"/>
      <w:szCs w:val="24"/>
    </w:rPr>
  </w:style>
  <w:style w:type="paragraph" w:styleId="10">
    <w:name w:val="heading 9"/>
    <w:basedOn w:val="1"/>
    <w:next w:val="1"/>
    <w:link w:val="94"/>
    <w:qFormat/>
    <w:uiPriority w:val="9"/>
    <w:pPr>
      <w:keepNext/>
      <w:keepLines/>
      <w:numPr>
        <w:ilvl w:val="8"/>
        <w:numId w:val="1"/>
      </w:numPr>
      <w:tabs>
        <w:tab w:val="left" w:pos="432"/>
      </w:tabs>
      <w:spacing w:before="240" w:after="64" w:line="320" w:lineRule="auto"/>
      <w:outlineLvl w:val="8"/>
    </w:pPr>
    <w:rPr>
      <w:rFonts w:ascii="Cambria" w:hAnsi="Cambria" w:cs="黑体"/>
      <w:sz w:val="21"/>
      <w:szCs w:val="21"/>
    </w:rPr>
  </w:style>
  <w:style w:type="character" w:default="1" w:styleId="29">
    <w:name w:val="Default Paragraph Font"/>
    <w:semiHidden/>
    <w:unhideWhenUsed/>
    <w:uiPriority w:val="1"/>
  </w:style>
  <w:style w:type="table" w:default="1" w:styleId="27">
    <w:name w:val="Normal Table"/>
    <w:semiHidden/>
    <w:unhideWhenUsed/>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ind w:firstLine="420"/>
      <w:jc w:val="both"/>
    </w:pPr>
    <w:rPr>
      <w:kern w:val="2"/>
      <w:sz w:val="21"/>
      <w:szCs w:val="20"/>
    </w:rPr>
  </w:style>
  <w:style w:type="paragraph" w:styleId="13">
    <w:name w:val="caption"/>
    <w:basedOn w:val="1"/>
    <w:next w:val="1"/>
    <w:link w:val="98"/>
    <w:qFormat/>
    <w:uiPriority w:val="0"/>
    <w:pPr>
      <w:tabs>
        <w:tab w:val="left" w:pos="1418"/>
      </w:tabs>
      <w:spacing w:before="120" w:after="120"/>
    </w:pPr>
    <w:rPr>
      <w:b/>
      <w:bCs/>
      <w:szCs w:val="20"/>
    </w:rPr>
  </w:style>
  <w:style w:type="paragraph" w:styleId="14">
    <w:name w:val="Document Map"/>
    <w:basedOn w:val="1"/>
    <w:link w:val="110"/>
    <w:unhideWhenUsed/>
    <w:qFormat/>
    <w:uiPriority w:val="99"/>
    <w:rPr>
      <w:rFonts w:ascii="宋体"/>
      <w:sz w:val="18"/>
      <w:szCs w:val="18"/>
    </w:rPr>
  </w:style>
  <w:style w:type="paragraph" w:styleId="15">
    <w:name w:val="annotation text"/>
    <w:basedOn w:val="1"/>
    <w:link w:val="104"/>
    <w:unhideWhenUsed/>
    <w:qFormat/>
    <w:uiPriority w:val="99"/>
    <w:rPr>
      <w:szCs w:val="20"/>
    </w:rPr>
  </w:style>
  <w:style w:type="paragraph" w:styleId="16">
    <w:name w:val="Body Text"/>
    <w:basedOn w:val="1"/>
    <w:link w:val="84"/>
    <w:qFormat/>
    <w:uiPriority w:val="0"/>
    <w:pPr>
      <w:widowControl w:val="0"/>
      <w:jc w:val="both"/>
    </w:pPr>
    <w:rPr>
      <w:color w:val="000000"/>
      <w:kern w:val="2"/>
      <w:sz w:val="21"/>
      <w:szCs w:val="20"/>
    </w:rPr>
  </w:style>
  <w:style w:type="paragraph" w:styleId="17">
    <w:name w:val="Body Text Indent"/>
    <w:basedOn w:val="1"/>
    <w:link w:val="99"/>
    <w:unhideWhenUsed/>
    <w:qFormat/>
    <w:uiPriority w:val="99"/>
    <w:pPr>
      <w:spacing w:after="120"/>
      <w:ind w:left="360"/>
    </w:pPr>
  </w:style>
  <w:style w:type="paragraph" w:styleId="18">
    <w:name w:val="List 2"/>
    <w:basedOn w:val="1"/>
    <w:unhideWhenUsed/>
    <w:qFormat/>
    <w:uiPriority w:val="99"/>
    <w:pPr>
      <w:ind w:left="851"/>
    </w:pPr>
  </w:style>
  <w:style w:type="paragraph" w:styleId="19">
    <w:name w:val="Plain Text"/>
    <w:basedOn w:val="1"/>
    <w:link w:val="95"/>
    <w:unhideWhenUsed/>
    <w:qFormat/>
    <w:uiPriority w:val="99"/>
    <w:rPr>
      <w:rFonts w:eastAsia="Calibri"/>
      <w:szCs w:val="21"/>
      <w:lang w:eastAsia="en-US"/>
    </w:rPr>
  </w:style>
  <w:style w:type="paragraph" w:styleId="20">
    <w:name w:val="Date"/>
    <w:basedOn w:val="1"/>
    <w:next w:val="1"/>
    <w:link w:val="85"/>
    <w:unhideWhenUsed/>
    <w:qFormat/>
    <w:uiPriority w:val="99"/>
    <w:pPr>
      <w:ind w:left="100" w:leftChars="2500"/>
    </w:pPr>
  </w:style>
  <w:style w:type="paragraph" w:styleId="21">
    <w:name w:val="Balloon Text"/>
    <w:basedOn w:val="1"/>
    <w:link w:val="108"/>
    <w:unhideWhenUsed/>
    <w:qFormat/>
    <w:uiPriority w:val="99"/>
    <w:rPr>
      <w:rFonts w:ascii="Tahoma" w:hAnsi="Tahoma"/>
      <w:sz w:val="16"/>
      <w:szCs w:val="16"/>
    </w:rPr>
  </w:style>
  <w:style w:type="paragraph" w:styleId="22">
    <w:name w:val="footer"/>
    <w:basedOn w:val="1"/>
    <w:link w:val="103"/>
    <w:unhideWhenUsed/>
    <w:qFormat/>
    <w:uiPriority w:val="99"/>
    <w:pPr>
      <w:tabs>
        <w:tab w:val="center" w:pos="4153"/>
        <w:tab w:val="right" w:pos="8306"/>
      </w:tabs>
      <w:snapToGrid w:val="0"/>
    </w:pPr>
    <w:rPr>
      <w:sz w:val="18"/>
      <w:szCs w:val="18"/>
    </w:rPr>
  </w:style>
  <w:style w:type="paragraph" w:styleId="23">
    <w:name w:val="header"/>
    <w:basedOn w:val="1"/>
    <w:link w:val="89"/>
    <w:qFormat/>
    <w:uiPriority w:val="99"/>
    <w:pPr>
      <w:tabs>
        <w:tab w:val="center" w:pos="4536"/>
        <w:tab w:val="right" w:pos="9072"/>
      </w:tabs>
    </w:pPr>
    <w:rPr>
      <w:rFonts w:ascii="Arial" w:hAnsi="Arial" w:eastAsia="MS Mincho"/>
      <w:b/>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rPr>
      <w:rFonts w:ascii="宋体" w:hAnsi="宋体" w:cs="宋体"/>
      <w:sz w:val="24"/>
      <w:szCs w:val="24"/>
    </w:rPr>
  </w:style>
  <w:style w:type="paragraph" w:styleId="26">
    <w:name w:val="annotation subject"/>
    <w:basedOn w:val="15"/>
    <w:next w:val="15"/>
    <w:link w:val="87"/>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styleId="30">
    <w:name w:val="Emphasis"/>
    <w:qFormat/>
    <w:uiPriority w:val="20"/>
    <w:rPr>
      <w:i/>
    </w:rPr>
  </w:style>
  <w:style w:type="character" w:styleId="31">
    <w:name w:val="Hyperlink"/>
    <w:unhideWhenUsed/>
    <w:qFormat/>
    <w:uiPriority w:val="99"/>
    <w:rPr>
      <w:color w:val="0000FF"/>
      <w:u w:val="single"/>
    </w:rPr>
  </w:style>
  <w:style w:type="character" w:styleId="32">
    <w:name w:val="annotation reference"/>
    <w:unhideWhenUsed/>
    <w:qFormat/>
    <w:uiPriority w:val="99"/>
    <w:rPr>
      <w:sz w:val="16"/>
      <w:szCs w:val="16"/>
    </w:rPr>
  </w:style>
  <w:style w:type="paragraph" w:customStyle="1" w:styleId="33">
    <w:name w:val="TH"/>
    <w:basedOn w:val="1"/>
    <w:link w:val="83"/>
    <w:qFormat/>
    <w:uiPriority w:val="0"/>
    <w:pPr>
      <w:keepNext/>
      <w:keepLines/>
      <w:spacing w:before="60" w:after="180"/>
      <w:jc w:val="center"/>
    </w:pPr>
    <w:rPr>
      <w:rFonts w:ascii="Arial" w:hAnsi="Arial"/>
      <w:b/>
      <w:szCs w:val="20"/>
      <w:lang w:eastAsia="en-US"/>
    </w:rPr>
  </w:style>
  <w:style w:type="paragraph" w:customStyle="1" w:styleId="34">
    <w:name w:val="列出段落5"/>
    <w:basedOn w:val="1"/>
    <w:unhideWhenUsed/>
    <w:qFormat/>
    <w:uiPriority w:val="99"/>
    <w:pPr>
      <w:ind w:firstLine="420" w:firstLineChars="200"/>
    </w:pPr>
  </w:style>
  <w:style w:type="paragraph" w:customStyle="1" w:styleId="35">
    <w:name w:val="EQ"/>
    <w:basedOn w:val="1"/>
    <w:next w:val="1"/>
    <w:qFormat/>
    <w:uiPriority w:val="0"/>
    <w:pPr>
      <w:keepLines/>
      <w:tabs>
        <w:tab w:val="center" w:pos="4536"/>
        <w:tab w:val="right" w:pos="9072"/>
      </w:tabs>
      <w:overflowPunct w:val="0"/>
      <w:spacing w:after="180"/>
      <w:textAlignment w:val="baseline"/>
    </w:pPr>
  </w:style>
  <w:style w:type="paragraph" w:customStyle="1" w:styleId="36">
    <w:name w:val="样式 ！正文"/>
    <w:basedOn w:val="1"/>
    <w:qFormat/>
    <w:uiPriority w:val="0"/>
    <w:pPr>
      <w:widowControl w:val="0"/>
      <w:spacing w:before="40" w:after="40" w:line="300" w:lineRule="auto"/>
      <w:ind w:firstLine="420"/>
      <w:jc w:val="both"/>
    </w:pPr>
    <w:rPr>
      <w:rFonts w:cs="宋体"/>
      <w:kern w:val="2"/>
      <w:sz w:val="21"/>
      <w:szCs w:val="20"/>
    </w:rPr>
  </w:style>
  <w:style w:type="paragraph" w:customStyle="1" w:styleId="37">
    <w:name w:val="List Paragraph5"/>
    <w:basedOn w:val="1"/>
    <w:qFormat/>
    <w:uiPriority w:val="99"/>
    <w:pPr>
      <w:ind w:firstLine="420" w:firstLineChars="200"/>
    </w:pPr>
  </w:style>
  <w:style w:type="paragraph" w:customStyle="1" w:styleId="38">
    <w:name w:val="CR Cover Page"/>
    <w:qFormat/>
    <w:uiPriority w:val="0"/>
    <w:pPr>
      <w:spacing w:after="120"/>
    </w:pPr>
    <w:rPr>
      <w:rFonts w:ascii="Arial" w:hAnsi="Arial" w:eastAsia="宋体" w:cs="Times New Roman"/>
      <w:sz w:val="21"/>
      <w:szCs w:val="22"/>
      <w:lang w:val="en-GB" w:eastAsia="en-US" w:bidi="ar-SA"/>
    </w:rPr>
  </w:style>
  <w:style w:type="paragraph" w:customStyle="1" w:styleId="39">
    <w:name w:val="TAH"/>
    <w:basedOn w:val="40"/>
    <w:link w:val="116"/>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b/>
    </w:rPr>
  </w:style>
  <w:style w:type="paragraph" w:customStyle="1" w:styleId="40">
    <w:name w:val="TAC"/>
    <w:basedOn w:val="41"/>
    <w:link w:val="115"/>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center"/>
    </w:pPr>
    <w:rPr>
      <w:szCs w:val="20"/>
      <w:lang w:eastAsia="en-US"/>
    </w:rPr>
  </w:style>
  <w:style w:type="paragraph" w:customStyle="1" w:styleId="41">
    <w:name w:val="TAL"/>
    <w:basedOn w:val="1"/>
    <w:qFormat/>
    <w:uiPriority w:val="0"/>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rFonts w:ascii="Arial" w:hAnsi="Arial"/>
      <w:sz w:val="18"/>
    </w:rPr>
  </w:style>
  <w:style w:type="paragraph" w:customStyle="1" w:styleId="42">
    <w:name w:val="列出段落4"/>
    <w:basedOn w:val="1"/>
    <w:qFormat/>
    <w:uiPriority w:val="99"/>
    <w:pPr>
      <w:ind w:firstLine="420" w:firstLineChars="200"/>
    </w:pPr>
  </w:style>
  <w:style w:type="paragraph" w:customStyle="1" w:styleId="43">
    <w:name w:val="LGTdoc_본문"/>
    <w:basedOn w:val="1"/>
    <w:qFormat/>
    <w:uiPriority w:val="0"/>
    <w:pPr>
      <w:widowControl w:val="0"/>
      <w:autoSpaceDE w:val="0"/>
      <w:autoSpaceDN w:val="0"/>
      <w:adjustRightInd w:val="0"/>
      <w:snapToGrid w:val="0"/>
      <w:spacing w:afterLines="50" w:line="264" w:lineRule="auto"/>
      <w:jc w:val="both"/>
    </w:pPr>
    <w:rPr>
      <w:kern w:val="2"/>
      <w:sz w:val="22"/>
      <w:lang w:eastAsia="ko-KR"/>
    </w:rPr>
  </w:style>
  <w:style w:type="paragraph" w:customStyle="1" w:styleId="44">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45">
    <w:name w:val="TAN"/>
    <w:basedOn w:val="1"/>
    <w:qFormat/>
    <w:uiPriority w:val="0"/>
    <w:pPr>
      <w:keepNext/>
      <w:keepLines/>
      <w:ind w:left="851" w:hanging="851"/>
    </w:pPr>
    <w:rPr>
      <w:rFonts w:ascii="Arial" w:hAnsi="Arial"/>
      <w:sz w:val="18"/>
      <w:szCs w:val="20"/>
      <w:lang w:eastAsia="en-US"/>
    </w:rPr>
  </w:style>
  <w:style w:type="paragraph" w:styleId="46">
    <w:name w:val="List Paragraph"/>
    <w:basedOn w:val="1"/>
    <w:qFormat/>
    <w:uiPriority w:val="34"/>
    <w:pPr>
      <w:ind w:left="840" w:leftChars="400"/>
    </w:pPr>
    <w:rPr>
      <w:rFonts w:ascii="Times" w:hAnsi="Times" w:eastAsia="Batang"/>
      <w:szCs w:val="24"/>
      <w:lang w:val="en-GB"/>
    </w:rPr>
  </w:style>
  <w:style w:type="paragraph" w:customStyle="1" w:styleId="47">
    <w:name w:val="修订2"/>
    <w:semiHidden/>
    <w:qFormat/>
    <w:uiPriority w:val="99"/>
    <w:rPr>
      <w:rFonts w:ascii="Times New Roman" w:hAnsi="Times New Roman" w:eastAsia="宋体" w:cs="Times New Roman"/>
      <w:szCs w:val="22"/>
      <w:lang w:val="en-US" w:eastAsia="zh-CN" w:bidi="ar-SA"/>
    </w:rPr>
  </w:style>
  <w:style w:type="paragraph" w:customStyle="1" w:styleId="48">
    <w:name w:val="List Paragraph4"/>
    <w:basedOn w:val="1"/>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720"/>
      <w:contextualSpacing/>
    </w:pPr>
    <w:rPr>
      <w:sz w:val="24"/>
    </w:rPr>
  </w:style>
  <w:style w:type="paragraph" w:customStyle="1" w:styleId="49">
    <w:name w:val="List Paragraph9"/>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420" w:firstLineChars="200"/>
    </w:pPr>
    <w:rPr>
      <w:rFonts w:eastAsia="宋体"/>
    </w:rPr>
  </w:style>
  <w:style w:type="paragraph" w:customStyle="1" w:styleId="50">
    <w:name w:val="List Paragraph3"/>
    <w:basedOn w:val="1"/>
    <w:qFormat/>
    <w:uiPriority w:val="99"/>
    <w:pPr>
      <w:ind w:firstLine="420" w:firstLineChars="200"/>
    </w:pPr>
  </w:style>
  <w:style w:type="paragraph" w:customStyle="1" w:styleId="51">
    <w:name w:val="Doc-text2"/>
    <w:basedOn w:val="1"/>
    <w:link w:val="111"/>
    <w:qFormat/>
    <w:uiPriority w:val="0"/>
    <w:pPr>
      <w:tabs>
        <w:tab w:val="left" w:pos="1622"/>
      </w:tabs>
      <w:ind w:left="1622" w:hanging="363"/>
    </w:pPr>
    <w:rPr>
      <w:rFonts w:ascii="Arial" w:hAnsi="Arial" w:eastAsia="MS Mincho"/>
      <w:szCs w:val="24"/>
    </w:rPr>
  </w:style>
  <w:style w:type="paragraph" w:customStyle="1" w:styleId="52">
    <w:name w:val="B2"/>
    <w:basedOn w:val="18"/>
    <w:qFormat/>
    <w:uiPriority w:val="0"/>
  </w:style>
  <w:style w:type="paragraph" w:customStyle="1" w:styleId="53">
    <w:name w:val="TF"/>
    <w:basedOn w:val="33"/>
    <w:link w:val="90"/>
    <w:qFormat/>
    <w:uiPriority w:val="0"/>
    <w:pPr>
      <w:keepNext w:val="0"/>
      <w:spacing w:before="0" w:after="240"/>
    </w:pPr>
    <w:rPr>
      <w:lang w:val="en-GB"/>
    </w:rPr>
  </w:style>
  <w:style w:type="paragraph" w:customStyle="1" w:styleId="54">
    <w:name w:val="z-窗体底端1"/>
    <w:basedOn w:val="1"/>
    <w:next w:val="1"/>
    <w:link w:val="106"/>
    <w:unhideWhenUsed/>
    <w:qFormat/>
    <w:uiPriority w:val="99"/>
    <w:pPr>
      <w:pBdr>
        <w:top w:val="single" w:color="auto" w:sz="6" w:space="1"/>
      </w:pBdr>
      <w:jc w:val="center"/>
    </w:pPr>
    <w:rPr>
      <w:rFonts w:ascii="Arial" w:hAnsi="Arial"/>
      <w:vanish/>
      <w:sz w:val="16"/>
      <w:szCs w:val="16"/>
    </w:rPr>
  </w:style>
  <w:style w:type="paragraph" w:customStyle="1" w:styleId="55">
    <w:name w:val="修订1"/>
    <w:semiHidden/>
    <w:qFormat/>
    <w:uiPriority w:val="99"/>
    <w:rPr>
      <w:rFonts w:ascii="Calibri" w:hAnsi="Calibri" w:eastAsia="宋体" w:cs="Times New Roman"/>
      <w:sz w:val="22"/>
      <w:szCs w:val="22"/>
      <w:lang w:val="en-US" w:eastAsia="zh-CN" w:bidi="ar-SA"/>
    </w:rPr>
  </w:style>
  <w:style w:type="paragraph" w:customStyle="1" w:styleId="56">
    <w:name w:val="_Style 55"/>
    <w:unhideWhenUsed/>
    <w:qFormat/>
    <w:uiPriority w:val="99"/>
    <w:rPr>
      <w:rFonts w:ascii="Times New Roman" w:hAnsi="Times New Roman" w:eastAsia="Times New Roman" w:cs="Times New Roman"/>
      <w:szCs w:val="22"/>
      <w:lang w:val="en-US" w:eastAsia="zh-CN" w:bidi="ar-SA"/>
    </w:rPr>
  </w:style>
  <w:style w:type="paragraph" w:customStyle="1" w:styleId="57">
    <w:name w:val="_Style 10"/>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840" w:leftChars="400"/>
    </w:pPr>
  </w:style>
  <w:style w:type="paragraph" w:customStyle="1" w:styleId="58">
    <w:name w:val="B3"/>
    <w:basedOn w:val="11"/>
    <w:qFormat/>
    <w:uiPriority w:val="0"/>
    <w:pPr>
      <w:spacing w:after="180"/>
      <w:ind w:left="1135" w:leftChars="0" w:hanging="284" w:firstLineChars="0"/>
    </w:pPr>
    <w:rPr>
      <w:rFonts w:eastAsia="MS Mincho"/>
      <w:szCs w:val="20"/>
      <w:lang w:eastAsia="en-US"/>
    </w:rPr>
  </w:style>
  <w:style w:type="paragraph" w:customStyle="1" w:styleId="59">
    <w:name w:val="RAN1 text"/>
    <w:basedOn w:val="16"/>
    <w:qFormat/>
    <w:uiPriority w:val="0"/>
    <w:rPr>
      <w:rFonts w:eastAsia="MS Mincho"/>
    </w:rPr>
  </w:style>
  <w:style w:type="paragraph" w:customStyle="1" w:styleId="60">
    <w:name w:val="列出段落3"/>
    <w:basedOn w:val="1"/>
    <w:qFormat/>
    <w:uiPriority w:val="99"/>
    <w:pPr>
      <w:ind w:firstLine="420" w:firstLineChars="200"/>
    </w:pPr>
  </w:style>
  <w:style w:type="paragraph" w:customStyle="1" w:styleId="61">
    <w:name w:val="_Style 1"/>
    <w:basedOn w:val="1"/>
    <w:qFormat/>
    <w:uiPriority w:val="34"/>
    <w:pPr>
      <w:ind w:left="840" w:leftChars="400"/>
    </w:pPr>
  </w:style>
  <w:style w:type="paragraph" w:customStyle="1" w:styleId="62">
    <w:name w:val="列出段落2"/>
    <w:basedOn w:val="1"/>
    <w:qFormat/>
    <w:uiPriority w:val="99"/>
    <w:pPr>
      <w:ind w:left="720"/>
      <w:contextualSpacing/>
    </w:pPr>
  </w:style>
  <w:style w:type="paragraph" w:customStyle="1" w:styleId="63">
    <w:name w:val="B1"/>
    <w:basedOn w:val="24"/>
    <w:qFormat/>
    <w:uiPriority w:val="0"/>
  </w:style>
  <w:style w:type="paragraph" w:customStyle="1" w:styleId="64">
    <w:name w:val="List Paragraph1"/>
    <w:basedOn w:val="1"/>
    <w:unhideWhenUsed/>
    <w:qFormat/>
    <w:uiPriority w:val="99"/>
    <w:pPr>
      <w:ind w:firstLine="420" w:firstLineChars="200"/>
    </w:pPr>
  </w:style>
  <w:style w:type="paragraph" w:customStyle="1" w:styleId="65">
    <w:name w:val="列出段落1"/>
    <w:basedOn w:val="1"/>
    <w:link w:val="88"/>
    <w:qFormat/>
    <w:uiPriority w:val="34"/>
    <w:pPr>
      <w:widowControl w:val="0"/>
      <w:ind w:firstLine="420" w:firstLineChars="200"/>
      <w:jc w:val="both"/>
    </w:pPr>
    <w:rPr>
      <w:kern w:val="2"/>
      <w:sz w:val="21"/>
      <w:szCs w:val="24"/>
    </w:rPr>
  </w:style>
  <w:style w:type="paragraph" w:customStyle="1" w:styleId="66">
    <w:name w:val="Revision2"/>
    <w:unhideWhenUsed/>
    <w:qFormat/>
    <w:uiPriority w:val="99"/>
    <w:rPr>
      <w:rFonts w:ascii="Times New Roman" w:hAnsi="Times New Roman" w:eastAsia="Times New Roman" w:cs="Times New Roman"/>
      <w:szCs w:val="22"/>
      <w:lang w:val="en-US" w:eastAsia="zh-CN" w:bidi="ar-SA"/>
    </w:rPr>
  </w:style>
  <w:style w:type="paragraph" w:customStyle="1" w:styleId="67">
    <w:name w:val="List Paragraph7"/>
    <w:basedOn w:val="1"/>
    <w:qFormat/>
    <w:uiPriority w:val="34"/>
    <w:pPr>
      <w:ind w:firstLine="420"/>
    </w:pPr>
    <w:rPr>
      <w:rFonts w:ascii="MS PGothic" w:hAnsi="MS PGothic" w:eastAsia="MS PGothic" w:cs="宋体"/>
      <w:sz w:val="24"/>
      <w:szCs w:val="24"/>
    </w:rPr>
  </w:style>
  <w:style w:type="paragraph" w:customStyle="1" w:styleId="68">
    <w:name w:val="表格文字居左"/>
    <w:basedOn w:val="1"/>
    <w:next w:val="1"/>
    <w:qFormat/>
    <w:uiPriority w:val="0"/>
    <w:pPr>
      <w:widowControl w:val="0"/>
      <w:jc w:val="both"/>
    </w:pPr>
    <w:rPr>
      <w:rFonts w:ascii="Arial" w:hAnsi="Arial" w:cs="宋体"/>
      <w:kern w:val="2"/>
      <w:sz w:val="21"/>
      <w:szCs w:val="20"/>
    </w:rPr>
  </w:style>
  <w:style w:type="paragraph" w:customStyle="1" w:styleId="69">
    <w:name w:val="_Style 3"/>
    <w:basedOn w:val="1"/>
    <w:qFormat/>
    <w:uiPriority w:val="34"/>
    <w:pPr>
      <w:ind w:left="840" w:leftChars="400"/>
    </w:pPr>
  </w:style>
  <w:style w:type="paragraph" w:customStyle="1" w:styleId="7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szCs w:val="22"/>
      <w:lang w:val="en-US" w:eastAsia="zh-CN" w:bidi="ar-SA"/>
    </w:rPr>
  </w:style>
  <w:style w:type="paragraph" w:customStyle="1" w:styleId="71">
    <w:name w:val="List Paragraph6"/>
    <w:basedOn w:val="1"/>
    <w:qFormat/>
    <w:uiPriority w:val="99"/>
    <w:pPr>
      <w:ind w:firstLine="420" w:firstLineChars="200"/>
    </w:pPr>
  </w:style>
  <w:style w:type="paragraph" w:customStyle="1" w:styleId="72">
    <w:name w:val="tablecell"/>
    <w:basedOn w:val="1"/>
    <w:qFormat/>
    <w:uiPriority w:val="0"/>
    <w:pPr>
      <w:autoSpaceDE w:val="0"/>
      <w:autoSpaceDN w:val="0"/>
      <w:adjustRightInd w:val="0"/>
      <w:snapToGrid w:val="0"/>
      <w:spacing w:before="40" w:after="40"/>
    </w:pPr>
    <w:rPr>
      <w:lang w:eastAsia="en-US"/>
    </w:rPr>
  </w:style>
  <w:style w:type="paragraph" w:customStyle="1" w:styleId="73">
    <w:name w:val="tableheader"/>
    <w:basedOn w:val="1"/>
    <w:qFormat/>
    <w:uiPriority w:val="0"/>
    <w:pPr>
      <w:snapToGrid w:val="0"/>
      <w:spacing w:before="40" w:after="40"/>
      <w:jc w:val="center"/>
    </w:pPr>
    <w:rPr>
      <w:rFonts w:cs="Calibri"/>
      <w:b/>
      <w:bCs/>
      <w:color w:val="000000"/>
      <w:lang w:eastAsia="en-US"/>
    </w:rPr>
  </w:style>
  <w:style w:type="paragraph" w:customStyle="1" w:styleId="74">
    <w:name w:val="Test"/>
    <w:basedOn w:val="1"/>
    <w:qFormat/>
    <w:uiPriority w:val="0"/>
    <w:pPr>
      <w:spacing w:before="60" w:after="60" w:line="280" w:lineRule="atLeast"/>
      <w:ind w:left="2160"/>
      <w:jc w:val="both"/>
    </w:pPr>
    <w:rPr>
      <w:rFonts w:eastAsia="MS Mincho"/>
      <w:szCs w:val="20"/>
      <w:lang w:eastAsia="en-US"/>
    </w:rPr>
  </w:style>
  <w:style w:type="paragraph" w:customStyle="1" w:styleId="75">
    <w:name w:val="main text"/>
    <w:basedOn w:val="1"/>
    <w:link w:val="107"/>
    <w:qFormat/>
    <w:uiPriority w:val="0"/>
    <w:pPr>
      <w:spacing w:before="60" w:after="60" w:line="288" w:lineRule="auto"/>
      <w:ind w:firstLine="200" w:firstLineChars="200"/>
      <w:jc w:val="both"/>
    </w:pPr>
    <w:rPr>
      <w:rFonts w:eastAsia="Malgun Gothic"/>
      <w:szCs w:val="20"/>
      <w:lang w:eastAsia="ko-KR"/>
    </w:rPr>
  </w:style>
  <w:style w:type="paragraph" w:customStyle="1" w:styleId="76">
    <w:name w:val="Revision1"/>
    <w:semiHidden/>
    <w:qFormat/>
    <w:uiPriority w:val="99"/>
    <w:rPr>
      <w:rFonts w:ascii="Times New Roman" w:hAnsi="Times New Roman" w:eastAsia="宋体" w:cs="Times New Roman"/>
      <w:szCs w:val="22"/>
      <w:lang w:val="en-US" w:eastAsia="zh-CN" w:bidi="ar-SA"/>
    </w:rPr>
  </w:style>
  <w:style w:type="paragraph" w:customStyle="1" w:styleId="77">
    <w:name w:val="RAN1 bullet1"/>
    <w:basedOn w:val="1"/>
    <w:qFormat/>
    <w:uiPriority w:val="0"/>
    <w:pPr>
      <w:numPr>
        <w:ilvl w:val="0"/>
        <w:numId w:val="3"/>
      </w:numPr>
    </w:pPr>
  </w:style>
  <w:style w:type="paragraph" w:customStyle="1" w:styleId="78">
    <w:name w:val="List Paragraph2"/>
    <w:basedOn w:val="1"/>
    <w:qFormat/>
    <w:uiPriority w:val="99"/>
    <w:pPr>
      <w:ind w:firstLine="420" w:firstLineChars="200"/>
    </w:pPr>
  </w:style>
  <w:style w:type="paragraph" w:customStyle="1" w:styleId="79">
    <w:name w:val="ZA"/>
    <w:qFormat/>
    <w:uiPriority w:val="0"/>
    <w:pPr>
      <w:widowControl w:val="0"/>
      <w:pBdr>
        <w:bottom w:val="single" w:color="auto" w:sz="12" w:space="1"/>
      </w:pBdr>
      <w:jc w:val="right"/>
    </w:pPr>
    <w:rPr>
      <w:rFonts w:ascii="Arial" w:hAnsi="Arial" w:eastAsia="宋体" w:cs="Times New Roman"/>
      <w:sz w:val="40"/>
      <w:lang w:val="en-US" w:eastAsia="en-US" w:bidi="ar-SA"/>
    </w:rPr>
  </w:style>
  <w:style w:type="paragraph" w:customStyle="1" w:styleId="80">
    <w:name w:val="z-窗体顶端1"/>
    <w:basedOn w:val="1"/>
    <w:next w:val="1"/>
    <w:link w:val="86"/>
    <w:unhideWhenUsed/>
    <w:qFormat/>
    <w:uiPriority w:val="99"/>
    <w:pPr>
      <w:pBdr>
        <w:bottom w:val="single" w:color="auto" w:sz="6" w:space="1"/>
      </w:pBdr>
      <w:jc w:val="center"/>
    </w:pPr>
    <w:rPr>
      <w:rFonts w:ascii="Arial" w:hAnsi="Arial"/>
      <w:vanish/>
      <w:sz w:val="16"/>
      <w:szCs w:val="16"/>
    </w:rPr>
  </w:style>
  <w:style w:type="character" w:customStyle="1" w:styleId="81">
    <w:name w:val="Heading 3 Char"/>
    <w:link w:val="4"/>
    <w:qFormat/>
    <w:uiPriority w:val="9"/>
    <w:rPr>
      <w:rFonts w:ascii="Times New Roman" w:hAnsi="Times New Roman" w:eastAsia="宋体"/>
      <w:b/>
      <w:bCs/>
      <w:sz w:val="24"/>
      <w:szCs w:val="32"/>
      <w:lang w:val="en-US" w:eastAsia="zh-CN"/>
    </w:rPr>
  </w:style>
  <w:style w:type="character" w:customStyle="1" w:styleId="82">
    <w:name w:val="Heading 7 Char"/>
    <w:link w:val="8"/>
    <w:semiHidden/>
    <w:qFormat/>
    <w:uiPriority w:val="9"/>
    <w:rPr>
      <w:b/>
      <w:bCs/>
      <w:sz w:val="24"/>
      <w:szCs w:val="24"/>
      <w:lang w:val="en-US" w:eastAsia="zh-CN"/>
    </w:rPr>
  </w:style>
  <w:style w:type="character" w:customStyle="1" w:styleId="83">
    <w:name w:val="TH Char"/>
    <w:link w:val="33"/>
    <w:qFormat/>
    <w:uiPriority w:val="0"/>
    <w:rPr>
      <w:rFonts w:ascii="Arial" w:hAnsi="Arial"/>
      <w:b/>
      <w:lang w:eastAsia="en-US"/>
    </w:rPr>
  </w:style>
  <w:style w:type="character" w:customStyle="1" w:styleId="84">
    <w:name w:val="Body Text Char"/>
    <w:link w:val="16"/>
    <w:qFormat/>
    <w:uiPriority w:val="0"/>
    <w:rPr>
      <w:rFonts w:ascii="Times New Roman" w:hAnsi="Times New Roman" w:eastAsia="宋体"/>
      <w:color w:val="000000"/>
      <w:kern w:val="2"/>
      <w:sz w:val="21"/>
    </w:rPr>
  </w:style>
  <w:style w:type="character" w:customStyle="1" w:styleId="85">
    <w:name w:val="Date Char"/>
    <w:link w:val="20"/>
    <w:semiHidden/>
    <w:qFormat/>
    <w:uiPriority w:val="99"/>
    <w:rPr>
      <w:sz w:val="22"/>
      <w:szCs w:val="22"/>
    </w:rPr>
  </w:style>
  <w:style w:type="character" w:customStyle="1" w:styleId="86">
    <w:name w:val="z-窗体顶端 Char"/>
    <w:link w:val="80"/>
    <w:semiHidden/>
    <w:qFormat/>
    <w:uiPriority w:val="99"/>
    <w:rPr>
      <w:rFonts w:ascii="Arial" w:hAnsi="Arial" w:cs="Arial"/>
      <w:vanish/>
      <w:sz w:val="16"/>
      <w:szCs w:val="16"/>
    </w:rPr>
  </w:style>
  <w:style w:type="character" w:customStyle="1" w:styleId="87">
    <w:name w:val="Comment Subject Char"/>
    <w:link w:val="26"/>
    <w:semiHidden/>
    <w:qFormat/>
    <w:uiPriority w:val="99"/>
    <w:rPr>
      <w:b/>
      <w:bCs/>
    </w:rPr>
  </w:style>
  <w:style w:type="character" w:customStyle="1" w:styleId="88">
    <w:name w:val="列出段落 Char"/>
    <w:link w:val="65"/>
    <w:qFormat/>
    <w:uiPriority w:val="34"/>
    <w:rPr>
      <w:rFonts w:ascii="Times New Roman" w:hAnsi="Times New Roman"/>
      <w:kern w:val="2"/>
      <w:sz w:val="21"/>
      <w:szCs w:val="24"/>
    </w:rPr>
  </w:style>
  <w:style w:type="character" w:customStyle="1" w:styleId="89">
    <w:name w:val="Header Char"/>
    <w:link w:val="23"/>
    <w:qFormat/>
    <w:uiPriority w:val="99"/>
    <w:rPr>
      <w:rFonts w:ascii="Arial" w:hAnsi="Arial" w:eastAsia="MS Mincho"/>
      <w:b/>
      <w:szCs w:val="24"/>
      <w:lang w:eastAsia="en-US"/>
    </w:rPr>
  </w:style>
  <w:style w:type="character" w:customStyle="1" w:styleId="90">
    <w:name w:val="TF Char"/>
    <w:link w:val="53"/>
    <w:qFormat/>
    <w:uiPriority w:val="0"/>
    <w:rPr>
      <w:rFonts w:ascii="Arial" w:hAnsi="Arial"/>
      <w:b/>
      <w:lang w:val="en-GB" w:eastAsia="en-US"/>
    </w:rPr>
  </w:style>
  <w:style w:type="character" w:customStyle="1" w:styleId="91">
    <w:name w:val="Heading 1 Char"/>
    <w:link w:val="2"/>
    <w:qFormat/>
    <w:uiPriority w:val="99"/>
    <w:rPr>
      <w:rFonts w:ascii="Times New Roman" w:hAnsi="Times New Roman" w:eastAsia="黑体"/>
      <w:b/>
      <w:bCs/>
      <w:sz w:val="30"/>
      <w:szCs w:val="30"/>
      <w:lang w:val="zh-CN" w:eastAsia="zh-CN"/>
    </w:rPr>
  </w:style>
  <w:style w:type="character" w:customStyle="1" w:styleId="92">
    <w:name w:val="Heading 6 Char"/>
    <w:link w:val="7"/>
    <w:semiHidden/>
    <w:qFormat/>
    <w:uiPriority w:val="9"/>
    <w:rPr>
      <w:rFonts w:ascii="Cambria" w:hAnsi="Cambria" w:eastAsia="宋体" w:cs="黑体"/>
      <w:b/>
      <w:bCs/>
      <w:sz w:val="24"/>
      <w:szCs w:val="24"/>
      <w:lang w:val="en-US" w:eastAsia="zh-CN"/>
    </w:rPr>
  </w:style>
  <w:style w:type="character" w:customStyle="1" w:styleId="93">
    <w:name w:val="Heading 4 Char"/>
    <w:link w:val="5"/>
    <w:qFormat/>
    <w:uiPriority w:val="0"/>
    <w:rPr>
      <w:rFonts w:ascii="Times New Roman" w:hAnsi="Times New Roman"/>
      <w:b/>
      <w:sz w:val="28"/>
      <w:szCs w:val="28"/>
      <w:lang w:eastAsia="zh-CN"/>
    </w:rPr>
  </w:style>
  <w:style w:type="character" w:customStyle="1" w:styleId="94">
    <w:name w:val="Heading 9 Char"/>
    <w:link w:val="10"/>
    <w:semiHidden/>
    <w:qFormat/>
    <w:uiPriority w:val="9"/>
    <w:rPr>
      <w:rFonts w:ascii="Cambria" w:hAnsi="Cambria" w:eastAsia="宋体" w:cs="黑体"/>
      <w:sz w:val="21"/>
      <w:szCs w:val="21"/>
      <w:lang w:val="en-US" w:eastAsia="zh-CN"/>
    </w:rPr>
  </w:style>
  <w:style w:type="character" w:customStyle="1" w:styleId="95">
    <w:name w:val="Plain Text Char"/>
    <w:link w:val="19"/>
    <w:qFormat/>
    <w:uiPriority w:val="99"/>
    <w:rPr>
      <w:rFonts w:eastAsia="Calibri"/>
      <w:sz w:val="22"/>
      <w:szCs w:val="21"/>
      <w:lang w:eastAsia="en-US"/>
    </w:rPr>
  </w:style>
  <w:style w:type="character" w:customStyle="1" w:styleId="96">
    <w:name w:val="apple-converted-space"/>
    <w:basedOn w:val="29"/>
    <w:qFormat/>
    <w:uiPriority w:val="0"/>
  </w:style>
  <w:style w:type="character" w:customStyle="1" w:styleId="97">
    <w:name w:val="Heading 5 Char"/>
    <w:link w:val="6"/>
    <w:qFormat/>
    <w:uiPriority w:val="0"/>
    <w:rPr>
      <w:rFonts w:ascii="Times New Roman" w:hAnsi="Times New Roman"/>
      <w:b/>
      <w:sz w:val="24"/>
      <w:szCs w:val="24"/>
      <w:lang w:eastAsia="zh-CN"/>
    </w:rPr>
  </w:style>
  <w:style w:type="character" w:customStyle="1" w:styleId="98">
    <w:name w:val="Caption Char"/>
    <w:link w:val="13"/>
    <w:qFormat/>
    <w:uiPriority w:val="0"/>
    <w:rPr>
      <w:rFonts w:ascii="Times New Roman" w:hAnsi="Times New Roman"/>
      <w:b/>
      <w:bCs/>
    </w:rPr>
  </w:style>
  <w:style w:type="character" w:customStyle="1" w:styleId="99">
    <w:name w:val="Body Text Indent Char"/>
    <w:link w:val="17"/>
    <w:semiHidden/>
    <w:qFormat/>
    <w:uiPriority w:val="99"/>
    <w:rPr>
      <w:sz w:val="22"/>
      <w:szCs w:val="22"/>
    </w:rPr>
  </w:style>
  <w:style w:type="character" w:customStyle="1" w:styleId="100">
    <w:name w:val="Heading 8 Char"/>
    <w:link w:val="9"/>
    <w:semiHidden/>
    <w:qFormat/>
    <w:uiPriority w:val="9"/>
    <w:rPr>
      <w:rFonts w:ascii="Cambria" w:hAnsi="Cambria" w:eastAsia="宋体" w:cs="黑体"/>
      <w:sz w:val="24"/>
      <w:szCs w:val="24"/>
      <w:lang w:val="en-US" w:eastAsia="zh-CN"/>
    </w:rPr>
  </w:style>
  <w:style w:type="character" w:customStyle="1" w:styleId="101">
    <w:name w:val="Heading 2 Char"/>
    <w:link w:val="3"/>
    <w:qFormat/>
    <w:uiPriority w:val="0"/>
    <w:rPr>
      <w:rFonts w:ascii="Times New Roman" w:hAnsi="Times New Roman" w:eastAsia="宋体"/>
      <w:b/>
      <w:bCs/>
      <w:kern w:val="2"/>
      <w:sz w:val="24"/>
      <w:szCs w:val="24"/>
      <w:lang w:val="zh-CN"/>
    </w:rPr>
  </w:style>
  <w:style w:type="character" w:customStyle="1" w:styleId="102">
    <w:name w:val="short_text"/>
    <w:basedOn w:val="29"/>
    <w:qFormat/>
    <w:uiPriority w:val="0"/>
  </w:style>
  <w:style w:type="character" w:customStyle="1" w:styleId="103">
    <w:name w:val="Footer Char"/>
    <w:link w:val="22"/>
    <w:qFormat/>
    <w:uiPriority w:val="99"/>
    <w:rPr>
      <w:sz w:val="18"/>
      <w:szCs w:val="18"/>
    </w:rPr>
  </w:style>
  <w:style w:type="character" w:customStyle="1" w:styleId="104">
    <w:name w:val="Comment Text Char"/>
    <w:basedOn w:val="29"/>
    <w:link w:val="15"/>
    <w:qFormat/>
    <w:uiPriority w:val="99"/>
  </w:style>
  <w:style w:type="character" w:customStyle="1" w:styleId="105">
    <w:name w:val="hps"/>
    <w:basedOn w:val="29"/>
    <w:qFormat/>
    <w:uiPriority w:val="0"/>
  </w:style>
  <w:style w:type="character" w:customStyle="1" w:styleId="106">
    <w:name w:val="z-窗体底端 Char"/>
    <w:link w:val="54"/>
    <w:semiHidden/>
    <w:qFormat/>
    <w:uiPriority w:val="99"/>
    <w:rPr>
      <w:rFonts w:ascii="Arial" w:hAnsi="Arial" w:cs="Arial"/>
      <w:vanish/>
      <w:sz w:val="16"/>
      <w:szCs w:val="16"/>
    </w:rPr>
  </w:style>
  <w:style w:type="character" w:customStyle="1" w:styleId="107">
    <w:name w:val="main text Char"/>
    <w:link w:val="75"/>
    <w:qFormat/>
    <w:uiPriority w:val="0"/>
    <w:rPr>
      <w:rFonts w:ascii="Times New Roman" w:hAnsi="Times New Roman" w:eastAsia="Malgun Gothic"/>
      <w:lang w:eastAsia="ko-KR"/>
    </w:rPr>
  </w:style>
  <w:style w:type="character" w:customStyle="1" w:styleId="108">
    <w:name w:val="Balloon Text Char"/>
    <w:link w:val="21"/>
    <w:semiHidden/>
    <w:qFormat/>
    <w:uiPriority w:val="99"/>
    <w:rPr>
      <w:rFonts w:ascii="Tahoma" w:hAnsi="Tahoma" w:cs="Tahoma"/>
      <w:sz w:val="16"/>
      <w:szCs w:val="16"/>
    </w:rPr>
  </w:style>
  <w:style w:type="character" w:customStyle="1" w:styleId="109">
    <w:name w:val="keyword"/>
    <w:basedOn w:val="29"/>
    <w:qFormat/>
    <w:uiPriority w:val="0"/>
  </w:style>
  <w:style w:type="character" w:customStyle="1" w:styleId="110">
    <w:name w:val="Document Map Char"/>
    <w:link w:val="14"/>
    <w:semiHidden/>
    <w:qFormat/>
    <w:uiPriority w:val="99"/>
    <w:rPr>
      <w:rFonts w:ascii="宋体"/>
      <w:sz w:val="18"/>
      <w:szCs w:val="18"/>
    </w:rPr>
  </w:style>
  <w:style w:type="character" w:customStyle="1" w:styleId="111">
    <w:name w:val="Doc-text2 Char"/>
    <w:link w:val="51"/>
    <w:qFormat/>
    <w:uiPriority w:val="0"/>
    <w:rPr>
      <w:rFonts w:ascii="Arial" w:hAnsi="Arial" w:eastAsia="MS Mincho"/>
      <w:szCs w:val="24"/>
    </w:rPr>
  </w:style>
  <w:style w:type="paragraph" w:customStyle="1" w:styleId="112">
    <w:name w:val="Style1"/>
    <w:basedOn w:val="1"/>
    <w:qFormat/>
    <w:uiPriority w:val="0"/>
    <w:pPr>
      <w:spacing w:after="100" w:afterAutospacing="1" w:line="300" w:lineRule="auto"/>
      <w:ind w:firstLine="360"/>
      <w:contextualSpacing/>
      <w:jc w:val="both"/>
    </w:pPr>
    <w:rPr>
      <w:rFonts w:eastAsia="宋体"/>
      <w:szCs w:val="20"/>
    </w:rPr>
  </w:style>
  <w:style w:type="paragraph" w:customStyle="1" w:styleId="113">
    <w:name w:val="样式 正文缩进d + 首行缩进:  2 字符 段前: 0.35 行"/>
    <w:basedOn w:val="12"/>
    <w:qFormat/>
    <w:uiPriority w:val="0"/>
    <w:pPr>
      <w:adjustRightInd w:val="0"/>
      <w:spacing w:beforeLines="35" w:line="460" w:lineRule="exact"/>
      <w:ind w:firstLine="560"/>
    </w:pPr>
    <w:rPr>
      <w:rFonts w:cs="宋体"/>
    </w:rPr>
  </w:style>
  <w:style w:type="paragraph" w:customStyle="1" w:styleId="114">
    <w:name w:val="Revision3"/>
    <w:hidden/>
    <w:semiHidden/>
    <w:qFormat/>
    <w:uiPriority w:val="99"/>
    <w:rPr>
      <w:rFonts w:ascii="Times New Roman" w:hAnsi="Times New Roman" w:eastAsia="Times New Roman" w:cs="Times New Roman"/>
      <w:szCs w:val="22"/>
      <w:lang w:val="en-US" w:eastAsia="zh-CN" w:bidi="ar-SA"/>
    </w:rPr>
  </w:style>
  <w:style w:type="character" w:customStyle="1" w:styleId="115">
    <w:name w:val="TAC Char"/>
    <w:link w:val="40"/>
    <w:qFormat/>
    <w:uiPriority w:val="0"/>
    <w:rPr>
      <w:rFonts w:ascii="Arial" w:hAnsi="Arial" w:eastAsia="Times New Roman" w:cs="Times New Roman"/>
      <w:sz w:val="18"/>
      <w:lang w:eastAsia="en-US"/>
    </w:rPr>
  </w:style>
  <w:style w:type="character" w:customStyle="1" w:styleId="116">
    <w:name w:val="TAH Car"/>
    <w:link w:val="39"/>
    <w:qFormat/>
    <w:uiPriority w:val="0"/>
    <w:rPr>
      <w:rFonts w:ascii="Arial" w:hAnsi="Arial" w:eastAsia="Times New Roman" w:cs="Times New Roman"/>
      <w:b/>
      <w:sz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3" Type="http://schemas.openxmlformats.org/officeDocument/2006/relationships/fontTable" Target="fontTable.xml"/><Relationship Id="rId72" Type="http://schemas.openxmlformats.org/officeDocument/2006/relationships/numbering" Target="numbering.xml"/><Relationship Id="rId71" Type="http://schemas.openxmlformats.org/officeDocument/2006/relationships/customXml" Target="../customXml/item1.xml"/><Relationship Id="rId70" Type="http://schemas.openxmlformats.org/officeDocument/2006/relationships/oleObject" Target="embeddings/oleObject39.bin"/><Relationship Id="rId7" Type="http://schemas.openxmlformats.org/officeDocument/2006/relationships/image" Target="media/image2.wmf"/><Relationship Id="rId69" Type="http://schemas.openxmlformats.org/officeDocument/2006/relationships/oleObject" Target="embeddings/oleObject38.bin"/><Relationship Id="rId68" Type="http://schemas.openxmlformats.org/officeDocument/2006/relationships/oleObject" Target="embeddings/oleObject37.bin"/><Relationship Id="rId67" Type="http://schemas.openxmlformats.org/officeDocument/2006/relationships/oleObject" Target="embeddings/oleObject36.bin"/><Relationship Id="rId66" Type="http://schemas.openxmlformats.org/officeDocument/2006/relationships/oleObject" Target="embeddings/oleObject35.bin"/><Relationship Id="rId65" Type="http://schemas.openxmlformats.org/officeDocument/2006/relationships/oleObject" Target="embeddings/oleObject34.bin"/><Relationship Id="rId64" Type="http://schemas.openxmlformats.org/officeDocument/2006/relationships/oleObject" Target="embeddings/oleObject33.bin"/><Relationship Id="rId63" Type="http://schemas.openxmlformats.org/officeDocument/2006/relationships/image" Target="media/image28.wmf"/><Relationship Id="rId62" Type="http://schemas.openxmlformats.org/officeDocument/2006/relationships/oleObject" Target="embeddings/oleObject32.bin"/><Relationship Id="rId61" Type="http://schemas.openxmlformats.org/officeDocument/2006/relationships/image" Target="media/image27.wmf"/><Relationship Id="rId60" Type="http://schemas.openxmlformats.org/officeDocument/2006/relationships/oleObject" Target="embeddings/oleObject31.bin"/><Relationship Id="rId6" Type="http://schemas.openxmlformats.org/officeDocument/2006/relationships/oleObject" Target="embeddings/oleObject2.bin"/><Relationship Id="rId59" Type="http://schemas.openxmlformats.org/officeDocument/2006/relationships/oleObject" Target="embeddings/oleObject30.bin"/><Relationship Id="rId58" Type="http://schemas.openxmlformats.org/officeDocument/2006/relationships/oleObject" Target="embeddings/oleObject29.bin"/><Relationship Id="rId57" Type="http://schemas.openxmlformats.org/officeDocument/2006/relationships/oleObject" Target="embeddings/oleObject28.bin"/><Relationship Id="rId56" Type="http://schemas.openxmlformats.org/officeDocument/2006/relationships/oleObject" Target="embeddings/oleObject27.bin"/><Relationship Id="rId55" Type="http://schemas.openxmlformats.org/officeDocument/2006/relationships/image" Target="media/image26.wmf"/><Relationship Id="rId54" Type="http://schemas.openxmlformats.org/officeDocument/2006/relationships/oleObject" Target="embeddings/oleObject26.bin"/><Relationship Id="rId53" Type="http://schemas.openxmlformats.org/officeDocument/2006/relationships/image" Target="media/image25.wmf"/><Relationship Id="rId52" Type="http://schemas.openxmlformats.org/officeDocument/2006/relationships/oleObject" Target="embeddings/oleObject25.bin"/><Relationship Id="rId51" Type="http://schemas.openxmlformats.org/officeDocument/2006/relationships/image" Target="media/image24.wmf"/><Relationship Id="rId50" Type="http://schemas.openxmlformats.org/officeDocument/2006/relationships/oleObject" Target="embeddings/oleObject24.bin"/><Relationship Id="rId5" Type="http://schemas.openxmlformats.org/officeDocument/2006/relationships/image" Target="media/image1.wmf"/><Relationship Id="rId49" Type="http://schemas.openxmlformats.org/officeDocument/2006/relationships/image" Target="media/image23.wmf"/><Relationship Id="rId48" Type="http://schemas.openxmlformats.org/officeDocument/2006/relationships/oleObject" Target="embeddings/oleObject23.bin"/><Relationship Id="rId47" Type="http://schemas.openxmlformats.org/officeDocument/2006/relationships/image" Target="media/image22.wmf"/><Relationship Id="rId46" Type="http://schemas.openxmlformats.org/officeDocument/2006/relationships/oleObject" Target="embeddings/oleObject22.bin"/><Relationship Id="rId45" Type="http://schemas.openxmlformats.org/officeDocument/2006/relationships/image" Target="media/image21.wmf"/><Relationship Id="rId44" Type="http://schemas.openxmlformats.org/officeDocument/2006/relationships/oleObject" Target="embeddings/oleObject21.bin"/><Relationship Id="rId43" Type="http://schemas.openxmlformats.org/officeDocument/2006/relationships/image" Target="media/image20.wmf"/><Relationship Id="rId42" Type="http://schemas.openxmlformats.org/officeDocument/2006/relationships/oleObject" Target="embeddings/oleObject20.bin"/><Relationship Id="rId41" Type="http://schemas.openxmlformats.org/officeDocument/2006/relationships/image" Target="media/image19.wmf"/><Relationship Id="rId40" Type="http://schemas.openxmlformats.org/officeDocument/2006/relationships/oleObject" Target="embeddings/oleObject19.bin"/><Relationship Id="rId4" Type="http://schemas.openxmlformats.org/officeDocument/2006/relationships/oleObject" Target="embeddings/oleObject1.bin"/><Relationship Id="rId39" Type="http://schemas.openxmlformats.org/officeDocument/2006/relationships/image" Target="media/image18.wmf"/><Relationship Id="rId38" Type="http://schemas.openxmlformats.org/officeDocument/2006/relationships/oleObject" Target="embeddings/oleObject18.bin"/><Relationship Id="rId37" Type="http://schemas.openxmlformats.org/officeDocument/2006/relationships/image" Target="media/image17.wmf"/><Relationship Id="rId36" Type="http://schemas.openxmlformats.org/officeDocument/2006/relationships/oleObject" Target="embeddings/oleObject17.bin"/><Relationship Id="rId35" Type="http://schemas.openxmlformats.org/officeDocument/2006/relationships/image" Target="media/image16.wmf"/><Relationship Id="rId34" Type="http://schemas.openxmlformats.org/officeDocument/2006/relationships/oleObject" Target="embeddings/oleObject16.bin"/><Relationship Id="rId33" Type="http://schemas.openxmlformats.org/officeDocument/2006/relationships/image" Target="media/image15.wmf"/><Relationship Id="rId32" Type="http://schemas.openxmlformats.org/officeDocument/2006/relationships/oleObject" Target="embeddings/oleObject15.bin"/><Relationship Id="rId31" Type="http://schemas.openxmlformats.org/officeDocument/2006/relationships/image" Target="media/image14.wmf"/><Relationship Id="rId30" Type="http://schemas.openxmlformats.org/officeDocument/2006/relationships/oleObject" Target="embeddings/oleObject14.bin"/><Relationship Id="rId3" Type="http://schemas.openxmlformats.org/officeDocument/2006/relationships/theme" Target="theme/theme1.xml"/><Relationship Id="rId29" Type="http://schemas.openxmlformats.org/officeDocument/2006/relationships/image" Target="media/image13.wmf"/><Relationship Id="rId28" Type="http://schemas.openxmlformats.org/officeDocument/2006/relationships/oleObject" Target="embeddings/oleObject13.bin"/><Relationship Id="rId27" Type="http://schemas.openxmlformats.org/officeDocument/2006/relationships/image" Target="media/image12.wmf"/><Relationship Id="rId26" Type="http://schemas.openxmlformats.org/officeDocument/2006/relationships/oleObject" Target="embeddings/oleObject12.bin"/><Relationship Id="rId25" Type="http://schemas.openxmlformats.org/officeDocument/2006/relationships/image" Target="media/image11.wmf"/><Relationship Id="rId24" Type="http://schemas.openxmlformats.org/officeDocument/2006/relationships/oleObject" Target="embeddings/oleObject11.bin"/><Relationship Id="rId23" Type="http://schemas.openxmlformats.org/officeDocument/2006/relationships/image" Target="media/image10.wmf"/><Relationship Id="rId22" Type="http://schemas.openxmlformats.org/officeDocument/2006/relationships/oleObject" Target="embeddings/oleObject10.bin"/><Relationship Id="rId21" Type="http://schemas.openxmlformats.org/officeDocument/2006/relationships/image" Target="media/image9.w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8.bin"/><Relationship Id="rId17" Type="http://schemas.openxmlformats.org/officeDocument/2006/relationships/image" Target="media/image7.wmf"/><Relationship Id="rId16" Type="http://schemas.openxmlformats.org/officeDocument/2006/relationships/oleObject" Target="embeddings/oleObject7.bin"/><Relationship Id="rId15" Type="http://schemas.openxmlformats.org/officeDocument/2006/relationships/image" Target="media/image6.wmf"/><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7</Pages>
  <Words>2319</Words>
  <Characters>13219</Characters>
  <Lines>110</Lines>
  <Paragraphs>31</Paragraphs>
  <TotalTime>33</TotalTime>
  <ScaleCrop>false</ScaleCrop>
  <LinksUpToDate>false</LinksUpToDate>
  <CharactersWithSpaces>15507</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2019-11-09T00:23:00Z</dcterms:created>
  <dc:creator>ZTE</dc:creator>
  <cp:lastModifiedBy>YK0</cp:lastModifiedBy>
  <dcterms:modified xsi:type="dcterms:W3CDTF">2019-11-09T02:54:05Z</dcterms:modified>
  <dc:title>Full Tx Power</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